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0529" w:rsidRPr="00DC0529" w:rsidRDefault="00DC0529" w:rsidP="00DC0529">
      <w:pPr>
        <w:jc w:val="center"/>
        <w:rPr>
          <w:rFonts w:asciiTheme="majorHAnsi" w:hAnsiTheme="majorHAnsi"/>
          <w:b/>
          <w:sz w:val="28"/>
          <w:szCs w:val="28"/>
        </w:rPr>
      </w:pPr>
      <w:r w:rsidRPr="00DC0529">
        <w:rPr>
          <w:rFonts w:asciiTheme="majorHAnsi" w:hAnsiTheme="majorHAnsi"/>
          <w:b/>
          <w:sz w:val="28"/>
          <w:szCs w:val="28"/>
        </w:rPr>
        <w:t xml:space="preserve">European Commission's recommendations based on expert assessments </w:t>
      </w:r>
    </w:p>
    <w:p w:rsidR="00DC0529" w:rsidRPr="00DC0529" w:rsidRDefault="00DC0529" w:rsidP="00DC0529">
      <w:pPr>
        <w:jc w:val="center"/>
        <w:rPr>
          <w:rFonts w:asciiTheme="majorHAnsi" w:hAnsiTheme="majorHAnsi"/>
          <w:b/>
          <w:sz w:val="28"/>
          <w:szCs w:val="28"/>
        </w:rPr>
      </w:pPr>
      <w:r w:rsidRPr="00DC0529">
        <w:rPr>
          <w:rFonts w:asciiTheme="majorHAnsi" w:hAnsiTheme="majorHAnsi"/>
          <w:b/>
          <w:sz w:val="28"/>
          <w:szCs w:val="28"/>
        </w:rPr>
        <w:t>OF THE FINANCIAL DECLARATIONS OF JUDGES AND PROSECUTORS IN BIH JUDICIARY</w:t>
      </w:r>
    </w:p>
    <w:p w:rsidR="00F93637" w:rsidRPr="00DC0529" w:rsidRDefault="00DC0529" w:rsidP="00DC0529">
      <w:pPr>
        <w:jc w:val="center"/>
        <w:rPr>
          <w:rFonts w:ascii="Arial" w:hAnsi="Arial" w:cs="Arial"/>
          <w:b/>
          <w:caps/>
        </w:rPr>
      </w:pPr>
      <w:r w:rsidRPr="00DC0529">
        <w:rPr>
          <w:rFonts w:asciiTheme="majorHAnsi" w:hAnsiTheme="majorHAnsi"/>
          <w:b/>
          <w:sz w:val="28"/>
          <w:szCs w:val="28"/>
        </w:rPr>
        <w:t xml:space="preserve"> </w:t>
      </w:r>
    </w:p>
    <w:p w:rsidR="00F93637" w:rsidRDefault="00F93637" w:rsidP="00F93637">
      <w:pPr>
        <w:spacing w:line="276" w:lineRule="auto"/>
        <w:jc w:val="center"/>
        <w:rPr>
          <w:rFonts w:asciiTheme="majorHAnsi" w:hAnsiTheme="majorHAnsi"/>
          <w:b/>
          <w:sz w:val="28"/>
          <w:szCs w:val="28"/>
        </w:rPr>
      </w:pPr>
    </w:p>
    <w:p w:rsidR="00F93637" w:rsidRDefault="00DC0529" w:rsidP="00FB3204">
      <w:pPr>
        <w:spacing w:line="276" w:lineRule="auto"/>
        <w:jc w:val="center"/>
        <w:rPr>
          <w:rFonts w:asciiTheme="majorHAnsi" w:hAnsiTheme="majorHAnsi"/>
          <w:b/>
          <w:sz w:val="28"/>
          <w:szCs w:val="28"/>
        </w:rPr>
      </w:pPr>
      <w:r>
        <w:rPr>
          <w:rFonts w:asciiTheme="majorHAnsi" w:hAnsiTheme="majorHAnsi"/>
          <w:b/>
          <w:sz w:val="28"/>
          <w:szCs w:val="28"/>
        </w:rPr>
        <w:t>P</w:t>
      </w:r>
      <w:r w:rsidR="00D52EB0">
        <w:rPr>
          <w:rFonts w:asciiTheme="majorHAnsi" w:hAnsiTheme="majorHAnsi"/>
          <w:b/>
          <w:sz w:val="28"/>
          <w:szCs w:val="28"/>
        </w:rPr>
        <w:t>reporuk</w:t>
      </w:r>
      <w:r>
        <w:rPr>
          <w:rFonts w:asciiTheme="majorHAnsi" w:hAnsiTheme="majorHAnsi"/>
          <w:b/>
          <w:sz w:val="28"/>
          <w:szCs w:val="28"/>
        </w:rPr>
        <w:t>e</w:t>
      </w:r>
      <w:r w:rsidR="00D52EB0">
        <w:rPr>
          <w:rFonts w:asciiTheme="majorHAnsi" w:hAnsiTheme="majorHAnsi"/>
          <w:b/>
          <w:sz w:val="28"/>
          <w:szCs w:val="28"/>
        </w:rPr>
        <w:t xml:space="preserve"> </w:t>
      </w:r>
      <w:r>
        <w:rPr>
          <w:rFonts w:asciiTheme="majorHAnsi" w:hAnsiTheme="majorHAnsi"/>
          <w:b/>
          <w:sz w:val="28"/>
          <w:szCs w:val="28"/>
        </w:rPr>
        <w:t xml:space="preserve">Evropske komisije zasnovane </w:t>
      </w:r>
      <w:proofErr w:type="gramStart"/>
      <w:r>
        <w:rPr>
          <w:rFonts w:asciiTheme="majorHAnsi" w:hAnsiTheme="majorHAnsi"/>
          <w:b/>
          <w:sz w:val="28"/>
          <w:szCs w:val="28"/>
        </w:rPr>
        <w:t>na</w:t>
      </w:r>
      <w:proofErr w:type="gramEnd"/>
      <w:r>
        <w:rPr>
          <w:rFonts w:asciiTheme="majorHAnsi" w:hAnsiTheme="majorHAnsi"/>
          <w:b/>
          <w:sz w:val="28"/>
          <w:szCs w:val="28"/>
        </w:rPr>
        <w:t xml:space="preserve"> </w:t>
      </w:r>
      <w:r w:rsidR="00F93637">
        <w:rPr>
          <w:rFonts w:asciiTheme="majorHAnsi" w:hAnsiTheme="majorHAnsi"/>
          <w:b/>
          <w:sz w:val="28"/>
          <w:szCs w:val="28"/>
        </w:rPr>
        <w:t>stručn</w:t>
      </w:r>
      <w:r>
        <w:rPr>
          <w:rFonts w:asciiTheme="majorHAnsi" w:hAnsiTheme="majorHAnsi"/>
          <w:b/>
          <w:sz w:val="28"/>
          <w:szCs w:val="28"/>
        </w:rPr>
        <w:t>oj</w:t>
      </w:r>
      <w:r w:rsidR="00F93637">
        <w:rPr>
          <w:rFonts w:asciiTheme="majorHAnsi" w:hAnsiTheme="majorHAnsi"/>
          <w:b/>
          <w:sz w:val="28"/>
          <w:szCs w:val="28"/>
        </w:rPr>
        <w:t xml:space="preserve"> analiz</w:t>
      </w:r>
      <w:r>
        <w:rPr>
          <w:rFonts w:asciiTheme="majorHAnsi" w:hAnsiTheme="majorHAnsi"/>
          <w:b/>
          <w:sz w:val="28"/>
          <w:szCs w:val="28"/>
        </w:rPr>
        <w:t>i</w:t>
      </w:r>
    </w:p>
    <w:p w:rsidR="00D52EB0" w:rsidRPr="00D01160" w:rsidRDefault="00971178" w:rsidP="00FB3204">
      <w:pPr>
        <w:spacing w:line="276" w:lineRule="auto"/>
        <w:jc w:val="center"/>
        <w:rPr>
          <w:rFonts w:asciiTheme="majorHAnsi" w:hAnsiTheme="majorHAnsi"/>
          <w:b/>
          <w:sz w:val="28"/>
          <w:szCs w:val="28"/>
        </w:rPr>
      </w:pPr>
      <w:r>
        <w:rPr>
          <w:rFonts w:ascii="Arial" w:hAnsi="Arial" w:cs="Arial"/>
          <w:b/>
          <w:caps/>
          <w:lang w:val="hr-HR"/>
        </w:rPr>
        <w:t>finansijski</w:t>
      </w:r>
      <w:r w:rsidR="00DC0529">
        <w:rPr>
          <w:rFonts w:ascii="Arial" w:hAnsi="Arial" w:cs="Arial"/>
          <w:b/>
          <w:caps/>
          <w:lang w:val="hr-HR"/>
        </w:rPr>
        <w:t>H</w:t>
      </w:r>
      <w:r w:rsidRPr="00971178">
        <w:rPr>
          <w:rFonts w:ascii="Arial" w:hAnsi="Arial" w:cs="Arial"/>
          <w:b/>
          <w:caps/>
          <w:lang w:val="hr-HR"/>
        </w:rPr>
        <w:t xml:space="preserve"> izvještaj</w:t>
      </w:r>
      <w:r w:rsidR="00DC0529">
        <w:rPr>
          <w:rFonts w:ascii="Arial" w:hAnsi="Arial" w:cs="Arial"/>
          <w:b/>
          <w:caps/>
          <w:lang w:val="hr-HR"/>
        </w:rPr>
        <w:t>A</w:t>
      </w:r>
      <w:r w:rsidRPr="00971178">
        <w:rPr>
          <w:rFonts w:ascii="Arial" w:hAnsi="Arial" w:cs="Arial"/>
          <w:b/>
          <w:caps/>
          <w:lang w:val="hr-HR"/>
        </w:rPr>
        <w:t xml:space="preserve"> </w:t>
      </w:r>
      <w:r w:rsidR="00853D6D">
        <w:rPr>
          <w:rFonts w:ascii="Arial" w:hAnsi="Arial" w:cs="Arial"/>
          <w:b/>
          <w:caps/>
          <w:lang w:val="hr-HR"/>
        </w:rPr>
        <w:t xml:space="preserve">SUDIJA I TUŽILACA U </w:t>
      </w:r>
      <w:r w:rsidRPr="00971178">
        <w:rPr>
          <w:rFonts w:ascii="Arial" w:hAnsi="Arial" w:cs="Arial"/>
          <w:b/>
          <w:caps/>
          <w:lang w:val="hr-HR"/>
        </w:rPr>
        <w:t>pravosuđu</w:t>
      </w:r>
      <w:r w:rsidR="00E968F6" w:rsidRPr="00E968F6">
        <w:rPr>
          <w:rFonts w:ascii="Arial" w:hAnsi="Arial" w:cs="Arial"/>
          <w:b/>
          <w:caps/>
          <w:lang w:val="hr-HR"/>
        </w:rPr>
        <w:t xml:space="preserve"> </w:t>
      </w:r>
      <w:r w:rsidR="00853D6D">
        <w:rPr>
          <w:rFonts w:ascii="Arial" w:hAnsi="Arial" w:cs="Arial"/>
          <w:b/>
          <w:caps/>
          <w:lang w:val="hr-HR"/>
        </w:rPr>
        <w:t>BIH</w:t>
      </w:r>
      <w:bookmarkStart w:id="0" w:name="_GoBack"/>
      <w:bookmarkEnd w:id="0"/>
    </w:p>
    <w:p w:rsidR="00D01160" w:rsidRPr="00D01160" w:rsidRDefault="00D01160" w:rsidP="00FB3204">
      <w:pPr>
        <w:spacing w:line="276" w:lineRule="auto"/>
        <w:rPr>
          <w:rFonts w:asciiTheme="majorHAnsi" w:hAnsiTheme="majorHAnsi"/>
          <w:sz w:val="20"/>
          <w:szCs w:val="20"/>
        </w:rPr>
      </w:pPr>
    </w:p>
    <w:tbl>
      <w:tblPr>
        <w:tblStyle w:val="TableGrid"/>
        <w:tblW w:w="1476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627"/>
        <w:gridCol w:w="5889"/>
        <w:gridCol w:w="5783"/>
        <w:gridCol w:w="1416"/>
        <w:gridCol w:w="655"/>
        <w:gridCol w:w="395"/>
      </w:tblGrid>
      <w:tr w:rsidR="00DF613E" w:rsidRPr="00F962B7" w:rsidTr="00C37C1C">
        <w:trPr>
          <w:cantSplit/>
          <w:tblHeader/>
        </w:trPr>
        <w:tc>
          <w:tcPr>
            <w:tcW w:w="627" w:type="dxa"/>
            <w:tcBorders>
              <w:bottom w:val="single" w:sz="4" w:space="0" w:color="BFBFBF" w:themeColor="background1" w:themeShade="BF"/>
            </w:tcBorders>
            <w:shd w:val="clear" w:color="auto" w:fill="000000" w:themeFill="text1"/>
            <w:tcMar>
              <w:top w:w="57" w:type="dxa"/>
              <w:bottom w:w="57" w:type="dxa"/>
            </w:tcMar>
          </w:tcPr>
          <w:p w:rsidR="00DF613E" w:rsidRPr="00F962B7" w:rsidRDefault="00C37C1C" w:rsidP="00C37C1C">
            <w:pPr>
              <w:spacing w:line="276" w:lineRule="auto"/>
              <w:rPr>
                <w:rFonts w:asciiTheme="majorHAnsi" w:hAnsiTheme="majorHAnsi" w:cs="Times New Roman"/>
                <w:color w:val="FFFFFF" w:themeColor="background1"/>
                <w:sz w:val="14"/>
                <w:szCs w:val="14"/>
              </w:rPr>
            </w:pPr>
            <w:proofErr w:type="gramStart"/>
            <w:r>
              <w:rPr>
                <w:rFonts w:asciiTheme="majorHAnsi" w:hAnsiTheme="majorHAnsi" w:cs="Times New Roman"/>
                <w:color w:val="FFFFFF" w:themeColor="background1"/>
                <w:sz w:val="14"/>
                <w:szCs w:val="14"/>
              </w:rPr>
              <w:t>No..</w:t>
            </w:r>
            <w:proofErr w:type="gramEnd"/>
          </w:p>
        </w:tc>
        <w:tc>
          <w:tcPr>
            <w:tcW w:w="5889" w:type="dxa"/>
            <w:tcBorders>
              <w:bottom w:val="single" w:sz="4" w:space="0" w:color="BFBFBF" w:themeColor="background1" w:themeShade="BF"/>
            </w:tcBorders>
            <w:shd w:val="clear" w:color="auto" w:fill="000000" w:themeFill="text1"/>
            <w:tcMar>
              <w:top w:w="57" w:type="dxa"/>
              <w:bottom w:w="57" w:type="dxa"/>
            </w:tcMar>
          </w:tcPr>
          <w:p w:rsidR="00DF613E" w:rsidRPr="00F962B7" w:rsidRDefault="008430EF" w:rsidP="00FB3204">
            <w:pPr>
              <w:spacing w:line="276" w:lineRule="auto"/>
              <w:rPr>
                <w:rFonts w:asciiTheme="majorHAnsi" w:hAnsiTheme="majorHAnsi" w:cs="Times New Roman"/>
                <w:color w:val="FFFFFF" w:themeColor="background1"/>
                <w:sz w:val="14"/>
                <w:szCs w:val="14"/>
                <w:lang w:val="en-US" w:eastAsia="x-none"/>
              </w:rPr>
            </w:pPr>
            <w:r>
              <w:rPr>
                <w:rFonts w:asciiTheme="majorHAnsi" w:hAnsiTheme="majorHAnsi" w:cs="Times New Roman"/>
                <w:color w:val="FFFFFF" w:themeColor="background1"/>
                <w:sz w:val="14"/>
                <w:szCs w:val="14"/>
                <w:lang w:val="en-US" w:eastAsia="x-none"/>
              </w:rPr>
              <w:t>English</w:t>
            </w:r>
          </w:p>
        </w:tc>
        <w:tc>
          <w:tcPr>
            <w:tcW w:w="5783" w:type="dxa"/>
            <w:tcBorders>
              <w:bottom w:val="single" w:sz="4" w:space="0" w:color="BFBFBF" w:themeColor="background1" w:themeShade="BF"/>
            </w:tcBorders>
            <w:shd w:val="clear" w:color="auto" w:fill="000000" w:themeFill="text1"/>
            <w:tcMar>
              <w:top w:w="57" w:type="dxa"/>
              <w:bottom w:w="57" w:type="dxa"/>
            </w:tcMar>
          </w:tcPr>
          <w:p w:rsidR="00DF613E" w:rsidRPr="00F962B7" w:rsidRDefault="008430EF" w:rsidP="00FB3204">
            <w:pPr>
              <w:spacing w:line="276" w:lineRule="auto"/>
              <w:rPr>
                <w:rFonts w:asciiTheme="majorHAnsi" w:hAnsiTheme="majorHAnsi" w:cs="Times New Roman"/>
                <w:color w:val="FFFFFF" w:themeColor="background1"/>
                <w:sz w:val="14"/>
                <w:szCs w:val="14"/>
                <w:lang w:val="en-US" w:eastAsia="x-none"/>
              </w:rPr>
            </w:pPr>
            <w:r>
              <w:rPr>
                <w:rFonts w:asciiTheme="majorHAnsi" w:hAnsiTheme="majorHAnsi" w:cs="Times New Roman"/>
                <w:color w:val="FFFFFF" w:themeColor="background1"/>
                <w:sz w:val="14"/>
                <w:szCs w:val="14"/>
                <w:lang w:val="en-US" w:eastAsia="x-none"/>
              </w:rPr>
              <w:t>Translation</w:t>
            </w:r>
            <w:r w:rsidR="00D52EB0">
              <w:rPr>
                <w:rFonts w:asciiTheme="majorHAnsi" w:hAnsiTheme="majorHAnsi" w:cs="Times New Roman"/>
                <w:color w:val="FFFFFF" w:themeColor="background1"/>
                <w:sz w:val="14"/>
                <w:szCs w:val="14"/>
                <w:lang w:val="en-US" w:eastAsia="x-none"/>
              </w:rPr>
              <w:t xml:space="preserve"> / Prevod</w:t>
            </w:r>
          </w:p>
        </w:tc>
        <w:tc>
          <w:tcPr>
            <w:tcW w:w="2466" w:type="dxa"/>
            <w:gridSpan w:val="3"/>
            <w:tcBorders>
              <w:bottom w:val="single" w:sz="4" w:space="0" w:color="BFBFBF" w:themeColor="background1" w:themeShade="BF"/>
            </w:tcBorders>
            <w:shd w:val="clear" w:color="auto" w:fill="000000" w:themeFill="text1"/>
            <w:tcMar>
              <w:top w:w="57" w:type="dxa"/>
              <w:bottom w:w="57" w:type="dxa"/>
            </w:tcMar>
          </w:tcPr>
          <w:p w:rsidR="00DF613E" w:rsidRPr="00F962B7" w:rsidRDefault="00DF613E" w:rsidP="00FB3204">
            <w:pPr>
              <w:spacing w:line="276" w:lineRule="auto"/>
              <w:rPr>
                <w:rFonts w:asciiTheme="majorHAnsi" w:hAnsiTheme="majorHAnsi" w:cs="Times New Roman"/>
                <w:color w:val="FFFFFF" w:themeColor="background1"/>
                <w:sz w:val="14"/>
                <w:szCs w:val="14"/>
              </w:rPr>
            </w:pPr>
            <w:r w:rsidRPr="00F962B7">
              <w:rPr>
                <w:rFonts w:asciiTheme="majorHAnsi" w:hAnsiTheme="majorHAnsi" w:cs="Times New Roman"/>
                <w:color w:val="FFFFFF" w:themeColor="background1"/>
                <w:sz w:val="14"/>
                <w:szCs w:val="14"/>
              </w:rPr>
              <w:t>Proposed approach</w:t>
            </w:r>
            <w:r w:rsidR="00FB3204">
              <w:rPr>
                <w:rFonts w:asciiTheme="majorHAnsi" w:hAnsiTheme="majorHAnsi" w:cs="Times New Roman"/>
                <w:color w:val="FFFFFF" w:themeColor="background1"/>
                <w:sz w:val="14"/>
                <w:szCs w:val="14"/>
              </w:rPr>
              <w:t>/predloženi  pristup</w:t>
            </w:r>
          </w:p>
        </w:tc>
      </w:tr>
      <w:tr w:rsidR="00DF613E" w:rsidRPr="00F80FB5" w:rsidTr="00D26613">
        <w:trPr>
          <w:gridAfter w:val="1"/>
          <w:wAfter w:w="395" w:type="dxa"/>
          <w:cantSplit/>
          <w:trHeight w:hRule="exact" w:val="187"/>
          <w:tblHeader/>
        </w:trPr>
        <w:tc>
          <w:tcPr>
            <w:tcW w:w="627" w:type="dxa"/>
            <w:tcBorders>
              <w:top w:val="single" w:sz="4" w:space="0" w:color="BFBFBF" w:themeColor="background1" w:themeShade="BF"/>
              <w:left w:val="nil"/>
              <w:bottom w:val="single" w:sz="4" w:space="0" w:color="BFBFBF" w:themeColor="background1" w:themeShade="BF"/>
              <w:right w:val="nil"/>
            </w:tcBorders>
            <w:tcMar>
              <w:top w:w="57" w:type="dxa"/>
              <w:bottom w:w="57" w:type="dxa"/>
            </w:tcMar>
          </w:tcPr>
          <w:p w:rsidR="00DF613E" w:rsidRPr="00F80FB5" w:rsidRDefault="00DF613E" w:rsidP="00FB3204">
            <w:pPr>
              <w:spacing w:line="276" w:lineRule="auto"/>
              <w:rPr>
                <w:rFonts w:asciiTheme="majorHAnsi" w:hAnsiTheme="majorHAnsi" w:cs="Times New Roman"/>
                <w:b/>
                <w:sz w:val="20"/>
                <w:szCs w:val="20"/>
              </w:rPr>
            </w:pPr>
          </w:p>
        </w:tc>
        <w:tc>
          <w:tcPr>
            <w:tcW w:w="13088" w:type="dxa"/>
            <w:gridSpan w:val="3"/>
            <w:tcBorders>
              <w:top w:val="single" w:sz="4" w:space="0" w:color="BFBFBF" w:themeColor="background1" w:themeShade="BF"/>
              <w:left w:val="nil"/>
              <w:bottom w:val="single" w:sz="4" w:space="0" w:color="BFBFBF" w:themeColor="background1" w:themeShade="BF"/>
              <w:right w:val="nil"/>
            </w:tcBorders>
            <w:tcMar>
              <w:top w:w="57" w:type="dxa"/>
              <w:bottom w:w="57" w:type="dxa"/>
            </w:tcMar>
          </w:tcPr>
          <w:p w:rsidR="00DF613E" w:rsidRPr="00F80FB5" w:rsidRDefault="00DF613E" w:rsidP="00FB3204">
            <w:pPr>
              <w:spacing w:line="276" w:lineRule="auto"/>
              <w:rPr>
                <w:rFonts w:asciiTheme="majorHAnsi" w:hAnsiTheme="majorHAnsi" w:cs="Times New Roman"/>
                <w:b/>
                <w:sz w:val="20"/>
                <w:szCs w:val="20"/>
              </w:rPr>
            </w:pPr>
          </w:p>
        </w:tc>
        <w:tc>
          <w:tcPr>
            <w:tcW w:w="655" w:type="dxa"/>
            <w:tcBorders>
              <w:top w:val="single" w:sz="4" w:space="0" w:color="BFBFBF" w:themeColor="background1" w:themeShade="BF"/>
              <w:left w:val="nil"/>
              <w:bottom w:val="single" w:sz="4" w:space="0" w:color="BFBFBF" w:themeColor="background1" w:themeShade="BF"/>
              <w:right w:val="nil"/>
            </w:tcBorders>
            <w:tcMar>
              <w:top w:w="57" w:type="dxa"/>
              <w:bottom w:w="57" w:type="dxa"/>
            </w:tcMar>
          </w:tcPr>
          <w:p w:rsidR="00DF613E" w:rsidRPr="00F80FB5" w:rsidRDefault="00DF613E" w:rsidP="00FB3204">
            <w:pPr>
              <w:spacing w:line="276" w:lineRule="auto"/>
              <w:rPr>
                <w:rFonts w:asciiTheme="majorHAnsi" w:hAnsiTheme="majorHAnsi" w:cs="Times New Roman"/>
                <w:sz w:val="18"/>
                <w:szCs w:val="18"/>
              </w:rPr>
            </w:pPr>
          </w:p>
        </w:tc>
      </w:tr>
      <w:tr w:rsidR="00C165D9" w:rsidRPr="00F80FB5" w:rsidTr="00D26613">
        <w:tc>
          <w:tcPr>
            <w:tcW w:w="14765" w:type="dxa"/>
            <w:gridSpan w:val="6"/>
            <w:shd w:val="clear" w:color="auto" w:fill="BFBFBF" w:themeFill="background1" w:themeFillShade="BF"/>
            <w:tcMar>
              <w:top w:w="57" w:type="dxa"/>
              <w:bottom w:w="57" w:type="dxa"/>
            </w:tcMar>
          </w:tcPr>
          <w:p w:rsidR="00C165D9" w:rsidRPr="00D52EB0" w:rsidRDefault="00C165D9" w:rsidP="00F93637">
            <w:pPr>
              <w:rPr>
                <w:rFonts w:asciiTheme="majorHAnsi" w:hAnsiTheme="majorHAnsi"/>
                <w:b/>
                <w:caps/>
                <w:sz w:val="16"/>
                <w:szCs w:val="16"/>
                <w:lang w:val="hr-HR" w:eastAsia="x-none"/>
              </w:rPr>
            </w:pPr>
          </w:p>
        </w:tc>
      </w:tr>
      <w:tr w:rsidR="005F21F7" w:rsidRPr="00F80FB5" w:rsidTr="00C37C1C">
        <w:tc>
          <w:tcPr>
            <w:tcW w:w="6516" w:type="dxa"/>
            <w:gridSpan w:val="2"/>
            <w:tcBorders>
              <w:right w:val="single" w:sz="4" w:space="0" w:color="auto"/>
            </w:tcBorders>
            <w:shd w:val="clear" w:color="auto" w:fill="F2F2F2" w:themeFill="background1" w:themeFillShade="F2"/>
            <w:tcMar>
              <w:top w:w="57" w:type="dxa"/>
              <w:bottom w:w="57" w:type="dxa"/>
            </w:tcMar>
          </w:tcPr>
          <w:p w:rsidR="005F21F7" w:rsidRPr="005F21F7" w:rsidRDefault="005F21F7" w:rsidP="005F21F7">
            <w:pPr>
              <w:tabs>
                <w:tab w:val="left" w:pos="1574"/>
              </w:tabs>
              <w:spacing w:line="276" w:lineRule="auto"/>
              <w:ind w:left="592"/>
              <w:rPr>
                <w:rFonts w:ascii="Arial" w:hAnsi="Arial" w:cs="Arial"/>
                <w:b/>
                <w:lang w:val="hr-HR" w:eastAsia="x-none"/>
              </w:rPr>
            </w:pPr>
          </w:p>
        </w:tc>
        <w:tc>
          <w:tcPr>
            <w:tcW w:w="8249" w:type="dxa"/>
            <w:gridSpan w:val="4"/>
            <w:tcBorders>
              <w:left w:val="single" w:sz="4" w:space="0" w:color="auto"/>
            </w:tcBorders>
            <w:shd w:val="clear" w:color="auto" w:fill="F2F2F2" w:themeFill="background1" w:themeFillShade="F2"/>
          </w:tcPr>
          <w:p w:rsidR="005F21F7" w:rsidRPr="005F21F7" w:rsidRDefault="005F21F7" w:rsidP="005F21F7">
            <w:pPr>
              <w:tabs>
                <w:tab w:val="left" w:pos="1574"/>
              </w:tabs>
              <w:spacing w:line="276" w:lineRule="auto"/>
              <w:ind w:left="568"/>
              <w:rPr>
                <w:rFonts w:ascii="Arial" w:hAnsi="Arial" w:cs="Arial"/>
                <w:b/>
                <w:lang w:val="hr-HR" w:eastAsia="x-none"/>
              </w:rPr>
            </w:pPr>
          </w:p>
        </w:tc>
      </w:tr>
      <w:tr w:rsidR="00DF613E" w:rsidRPr="00F80FB5" w:rsidTr="00C37C1C">
        <w:tc>
          <w:tcPr>
            <w:tcW w:w="627" w:type="dxa"/>
            <w:tcMar>
              <w:top w:w="57" w:type="dxa"/>
              <w:bottom w:w="57" w:type="dxa"/>
            </w:tcMar>
          </w:tcPr>
          <w:p w:rsidR="00DF613E" w:rsidRPr="00F80FB5" w:rsidRDefault="00A5542A" w:rsidP="00FB3204">
            <w:pPr>
              <w:spacing w:line="276" w:lineRule="auto"/>
              <w:rPr>
                <w:rFonts w:asciiTheme="majorHAnsi" w:hAnsiTheme="majorHAnsi" w:cs="Times New Roman"/>
                <w:sz w:val="16"/>
                <w:szCs w:val="16"/>
              </w:rPr>
            </w:pPr>
            <w:r>
              <w:rPr>
                <w:rFonts w:asciiTheme="majorHAnsi" w:hAnsiTheme="majorHAnsi" w:cs="Times New Roman"/>
                <w:sz w:val="16"/>
                <w:szCs w:val="16"/>
              </w:rPr>
              <w:t>1</w:t>
            </w:r>
          </w:p>
        </w:tc>
        <w:tc>
          <w:tcPr>
            <w:tcW w:w="5889" w:type="dxa"/>
            <w:tcMar>
              <w:top w:w="57" w:type="dxa"/>
              <w:bottom w:w="57" w:type="dxa"/>
            </w:tcMar>
          </w:tcPr>
          <w:p w:rsidR="00562026" w:rsidRPr="009408C2" w:rsidRDefault="00971178" w:rsidP="00B77208">
            <w:pPr>
              <w:spacing w:line="276" w:lineRule="auto"/>
              <w:jc w:val="both"/>
              <w:rPr>
                <w:rFonts w:ascii="Arial" w:hAnsi="Arial" w:cs="Arial"/>
                <w:lang w:eastAsia="x-none"/>
              </w:rPr>
            </w:pPr>
            <w:proofErr w:type="gramStart"/>
            <w:r w:rsidRPr="00971178">
              <w:rPr>
                <w:rFonts w:ascii="Arial" w:hAnsi="Arial" w:cs="Arial"/>
                <w:b/>
                <w:lang w:eastAsia="x-none"/>
              </w:rPr>
              <w:t xml:space="preserve">A provision regarding the content of the disclosure form should be introduced in the law on HJPC: </w:t>
            </w:r>
            <w:r w:rsidRPr="00971178">
              <w:rPr>
                <w:rFonts w:ascii="Arial" w:hAnsi="Arial" w:cs="Arial"/>
                <w:lang w:eastAsia="x-none"/>
              </w:rPr>
              <w:t>Article 86 of the law on HJPC should be amended to include a list of the different items of the financial disclosure, in order to provide legal grounds for institutional cooperation between HJPC and outside sources of information and for potential disciplinary action if the disclosure is not filled correctly.</w:t>
            </w:r>
            <w:proofErr w:type="gramEnd"/>
            <w:r w:rsidRPr="00971178">
              <w:rPr>
                <w:rFonts w:ascii="Arial" w:hAnsi="Arial" w:cs="Arial"/>
                <w:lang w:eastAsia="x-none"/>
              </w:rPr>
              <w:t xml:space="preserve"> </w:t>
            </w:r>
          </w:p>
        </w:tc>
        <w:tc>
          <w:tcPr>
            <w:tcW w:w="5783" w:type="dxa"/>
            <w:tcMar>
              <w:top w:w="57" w:type="dxa"/>
              <w:bottom w:w="57" w:type="dxa"/>
            </w:tcMar>
          </w:tcPr>
          <w:p w:rsidR="00DF613E" w:rsidRPr="004B6B67" w:rsidRDefault="004B6B67" w:rsidP="004B6B67">
            <w:pPr>
              <w:spacing w:line="276" w:lineRule="auto"/>
              <w:jc w:val="both"/>
              <w:rPr>
                <w:rFonts w:ascii="Arial" w:hAnsi="Arial" w:cs="Arial"/>
                <w:b/>
                <w:lang w:val="hr-HR" w:eastAsia="x-none"/>
              </w:rPr>
            </w:pPr>
            <w:r w:rsidRPr="004B6B67">
              <w:rPr>
                <w:rFonts w:ascii="Arial" w:hAnsi="Arial" w:cs="Arial"/>
                <w:lang w:val="hr-HR" w:eastAsia="x-none"/>
              </w:rPr>
              <w:t>U</w:t>
            </w:r>
            <w:r w:rsidRPr="004B6B67">
              <w:rPr>
                <w:rFonts w:ascii="Arial" w:hAnsi="Arial" w:cs="Arial"/>
                <w:b/>
                <w:lang w:val="hr-HR" w:eastAsia="x-none"/>
              </w:rPr>
              <w:t xml:space="preserve"> Zakon o VSTV-u bi trebalo uvesti odredbu koja se odnosi na sadržaj formulara za dostavljanje ličnih finansijskih izvještaja:</w:t>
            </w:r>
            <w:r w:rsidRPr="004B6B67">
              <w:rPr>
                <w:rFonts w:ascii="Arial" w:hAnsi="Arial" w:cs="Arial"/>
                <w:lang w:val="hr-HR" w:eastAsia="x-none"/>
              </w:rPr>
              <w:t xml:space="preserve"> član 86. Zakona o VSTV-u bi trebalo izmijeniti na način da se uključi spisak različitih finansijskih stavki, kako bi se osigurala zakonska osnova za institucionalnu saradnju između VSTV-a i spoljnih izvora informacija i za eventualne disciplinske postupke ukoliko se utvrdi da izvještaj nije ispravno popunjen.</w:t>
            </w:r>
          </w:p>
        </w:tc>
        <w:tc>
          <w:tcPr>
            <w:tcW w:w="2466" w:type="dxa"/>
            <w:gridSpan w:val="3"/>
            <w:tcMar>
              <w:top w:w="57" w:type="dxa"/>
              <w:bottom w:w="57" w:type="dxa"/>
            </w:tcMar>
          </w:tcPr>
          <w:p w:rsidR="00DF613E" w:rsidRPr="00F80FB5" w:rsidRDefault="00DF613E" w:rsidP="00FB3204">
            <w:pPr>
              <w:spacing w:line="276" w:lineRule="auto"/>
              <w:rPr>
                <w:rFonts w:asciiTheme="majorHAnsi" w:hAnsiTheme="majorHAnsi"/>
                <w:sz w:val="16"/>
                <w:szCs w:val="16"/>
                <w:lang w:val="en-US" w:eastAsia="x-none"/>
              </w:rPr>
            </w:pPr>
          </w:p>
        </w:tc>
      </w:tr>
      <w:tr w:rsidR="00DF613E" w:rsidRPr="00F80FB5" w:rsidTr="00C37C1C">
        <w:tc>
          <w:tcPr>
            <w:tcW w:w="627" w:type="dxa"/>
            <w:tcMar>
              <w:top w:w="57" w:type="dxa"/>
              <w:bottom w:w="57" w:type="dxa"/>
            </w:tcMar>
          </w:tcPr>
          <w:p w:rsidR="00DF613E" w:rsidRPr="00F80FB5" w:rsidRDefault="00A5542A" w:rsidP="00FB3204">
            <w:pPr>
              <w:spacing w:line="276" w:lineRule="auto"/>
              <w:rPr>
                <w:rFonts w:asciiTheme="majorHAnsi" w:hAnsiTheme="majorHAnsi" w:cs="Times New Roman"/>
                <w:sz w:val="16"/>
                <w:szCs w:val="16"/>
              </w:rPr>
            </w:pPr>
            <w:r>
              <w:rPr>
                <w:rFonts w:asciiTheme="majorHAnsi" w:hAnsiTheme="majorHAnsi" w:cs="Times New Roman"/>
                <w:sz w:val="16"/>
                <w:szCs w:val="16"/>
              </w:rPr>
              <w:t>2</w:t>
            </w:r>
          </w:p>
        </w:tc>
        <w:tc>
          <w:tcPr>
            <w:tcW w:w="5889" w:type="dxa"/>
            <w:tcMar>
              <w:top w:w="57" w:type="dxa"/>
              <w:bottom w:w="57" w:type="dxa"/>
            </w:tcMar>
          </w:tcPr>
          <w:p w:rsidR="00DF613E" w:rsidRPr="009408C2" w:rsidRDefault="00971178" w:rsidP="00971178">
            <w:pPr>
              <w:spacing w:line="276" w:lineRule="auto"/>
              <w:jc w:val="both"/>
              <w:rPr>
                <w:rFonts w:ascii="Arial" w:hAnsi="Arial" w:cs="Arial"/>
                <w:lang w:eastAsia="x-none"/>
              </w:rPr>
            </w:pPr>
            <w:r w:rsidRPr="00971178">
              <w:rPr>
                <w:rFonts w:ascii="Arial" w:hAnsi="Arial" w:cs="Arial"/>
                <w:b/>
                <w:lang w:eastAsia="x-none"/>
              </w:rPr>
              <w:t xml:space="preserve">A new, more comprehensive disclosure form </w:t>
            </w:r>
            <w:proofErr w:type="gramStart"/>
            <w:r w:rsidRPr="00971178">
              <w:rPr>
                <w:rFonts w:ascii="Arial" w:hAnsi="Arial" w:cs="Arial"/>
                <w:b/>
                <w:lang w:eastAsia="x-none"/>
              </w:rPr>
              <w:t>should be drafted</w:t>
            </w:r>
            <w:proofErr w:type="gramEnd"/>
            <w:r w:rsidRPr="00971178">
              <w:rPr>
                <w:rFonts w:ascii="Arial" w:hAnsi="Arial" w:cs="Arial"/>
                <w:b/>
                <w:lang w:eastAsia="x-none"/>
              </w:rPr>
              <w:t xml:space="preserve">: </w:t>
            </w:r>
            <w:r w:rsidRPr="00971178">
              <w:rPr>
                <w:rFonts w:ascii="Arial" w:hAnsi="Arial" w:cs="Arial"/>
                <w:lang w:eastAsia="x-none"/>
              </w:rPr>
              <w:t xml:space="preserve">this new form should include the missing items in the current form, such as unpaid activities or gifts received and more detailed and comprehensive charts regarding assets. It should also lower to the threshold to disclose a piece of asset to 5 000 KM, which would be more appropriate </w:t>
            </w:r>
            <w:r w:rsidRPr="00971178">
              <w:rPr>
                <w:rFonts w:ascii="Arial" w:hAnsi="Arial" w:cs="Arial"/>
                <w:lang w:eastAsia="x-none"/>
              </w:rPr>
              <w:lastRenderedPageBreak/>
              <w:t>considering the financial situation of judges and prosecutors in BIH.</w:t>
            </w:r>
          </w:p>
        </w:tc>
        <w:tc>
          <w:tcPr>
            <w:tcW w:w="5783" w:type="dxa"/>
            <w:tcMar>
              <w:top w:w="57" w:type="dxa"/>
              <w:bottom w:w="57" w:type="dxa"/>
            </w:tcMar>
          </w:tcPr>
          <w:p w:rsidR="00DF613E" w:rsidRPr="004B6B67" w:rsidRDefault="004B6B67" w:rsidP="004B6B67">
            <w:pPr>
              <w:spacing w:line="276" w:lineRule="auto"/>
              <w:jc w:val="both"/>
              <w:rPr>
                <w:rFonts w:ascii="Arial" w:hAnsi="Arial" w:cs="Arial"/>
                <w:b/>
                <w:lang w:val="hr-HR" w:eastAsia="x-none"/>
              </w:rPr>
            </w:pPr>
            <w:r w:rsidRPr="004B6B67">
              <w:rPr>
                <w:rFonts w:ascii="Arial" w:hAnsi="Arial" w:cs="Arial"/>
                <w:b/>
                <w:lang w:val="hr-HR" w:eastAsia="x-none"/>
              </w:rPr>
              <w:lastRenderedPageBreak/>
              <w:t>Potrebno je izraditi novi, sveobuhvatniji formular za podnošenje ličnih finansijskih izvještaja</w:t>
            </w:r>
            <w:r w:rsidRPr="004B6B67">
              <w:rPr>
                <w:rFonts w:ascii="Arial" w:hAnsi="Arial" w:cs="Arial"/>
                <w:lang w:val="hr-HR" w:eastAsia="x-none"/>
              </w:rPr>
              <w:t>:</w:t>
            </w:r>
            <w:r w:rsidRPr="004B6B67">
              <w:rPr>
                <w:rFonts w:ascii="Arial" w:hAnsi="Arial" w:cs="Arial"/>
                <w:b/>
                <w:lang w:val="hr-HR" w:eastAsia="x-none"/>
              </w:rPr>
              <w:t xml:space="preserve"> </w:t>
            </w:r>
            <w:r w:rsidRPr="004B6B67">
              <w:rPr>
                <w:rFonts w:ascii="Arial" w:hAnsi="Arial" w:cs="Arial"/>
                <w:lang w:val="hr-HR" w:eastAsia="x-none"/>
              </w:rPr>
              <w:t xml:space="preserve">ovaj novi formular treba da uključi stavke koje nedostaju u postojećem formularu, kao što su neplaćene aktivnosti ili pokloni, kao i detaljniji i sveobuhvatnije tabele sa imovinskim podacima. Takođe bi trebalo sniziti prag za prijavljivanje pojedinačnih stavki </w:t>
            </w:r>
            <w:r w:rsidRPr="004B6B67">
              <w:rPr>
                <w:rFonts w:ascii="Arial" w:hAnsi="Arial" w:cs="Arial"/>
                <w:lang w:val="hr-HR" w:eastAsia="x-none"/>
              </w:rPr>
              <w:lastRenderedPageBreak/>
              <w:t>imovine na 5 000 KM, što bi bilo prikladnije s obzirom na finansijski položaj sudija i tužilaca u BiH.</w:t>
            </w:r>
          </w:p>
        </w:tc>
        <w:tc>
          <w:tcPr>
            <w:tcW w:w="2466" w:type="dxa"/>
            <w:gridSpan w:val="3"/>
            <w:tcMar>
              <w:top w:w="57" w:type="dxa"/>
              <w:bottom w:w="57" w:type="dxa"/>
            </w:tcMar>
          </w:tcPr>
          <w:p w:rsidR="00DF613E" w:rsidRPr="00F80FB5" w:rsidRDefault="00DF613E" w:rsidP="00FB3204">
            <w:pPr>
              <w:spacing w:line="276" w:lineRule="auto"/>
              <w:rPr>
                <w:rFonts w:asciiTheme="majorHAnsi" w:hAnsiTheme="majorHAnsi" w:cs="Times New Roman"/>
                <w:sz w:val="16"/>
                <w:szCs w:val="16"/>
              </w:rPr>
            </w:pPr>
          </w:p>
        </w:tc>
      </w:tr>
      <w:tr w:rsidR="00325A20" w:rsidRPr="00F80FB5" w:rsidTr="00C37C1C">
        <w:tc>
          <w:tcPr>
            <w:tcW w:w="627" w:type="dxa"/>
            <w:tcMar>
              <w:top w:w="57" w:type="dxa"/>
              <w:bottom w:w="57" w:type="dxa"/>
            </w:tcMar>
          </w:tcPr>
          <w:p w:rsidR="00325A20" w:rsidRDefault="00D26613" w:rsidP="00FB3204">
            <w:pPr>
              <w:spacing w:line="276" w:lineRule="auto"/>
              <w:rPr>
                <w:rFonts w:asciiTheme="majorHAnsi" w:hAnsiTheme="majorHAnsi" w:cs="Times New Roman"/>
                <w:sz w:val="16"/>
                <w:szCs w:val="16"/>
              </w:rPr>
            </w:pPr>
            <w:r>
              <w:rPr>
                <w:rFonts w:asciiTheme="majorHAnsi" w:hAnsiTheme="majorHAnsi" w:cs="Times New Roman"/>
                <w:sz w:val="16"/>
                <w:szCs w:val="16"/>
              </w:rPr>
              <w:t>3</w:t>
            </w:r>
          </w:p>
        </w:tc>
        <w:tc>
          <w:tcPr>
            <w:tcW w:w="5889" w:type="dxa"/>
            <w:tcMar>
              <w:top w:w="57" w:type="dxa"/>
              <w:bottom w:w="57" w:type="dxa"/>
            </w:tcMar>
          </w:tcPr>
          <w:p w:rsidR="00971178" w:rsidRPr="00971178" w:rsidRDefault="00971178" w:rsidP="00971178">
            <w:pPr>
              <w:spacing w:line="276" w:lineRule="auto"/>
              <w:jc w:val="both"/>
              <w:rPr>
                <w:rFonts w:ascii="Arial" w:hAnsi="Arial" w:cs="Arial"/>
                <w:lang w:eastAsia="x-none"/>
              </w:rPr>
            </w:pPr>
            <w:r w:rsidRPr="00971178">
              <w:rPr>
                <w:rFonts w:ascii="Arial" w:hAnsi="Arial" w:cs="Arial"/>
                <w:b/>
                <w:lang w:eastAsia="x-none"/>
              </w:rPr>
              <w:t xml:space="preserve">The HJPC should build an effective online solution to fill the disclosure forms: </w:t>
            </w:r>
            <w:r w:rsidRPr="00971178">
              <w:rPr>
                <w:rFonts w:ascii="Arial" w:hAnsi="Arial" w:cs="Arial"/>
                <w:lang w:eastAsia="x-none"/>
              </w:rPr>
              <w:t>this solution should allow members of the Judiciary to fill their disclosure form online and the HJPC to crosscheck the data, both between several statements and, with specific agreements from competent authorities, with outside databases. It would also enable, if allowed by the legislation at some point, to publish the statements on the Internet.</w:t>
            </w:r>
          </w:p>
          <w:p w:rsidR="00325A20" w:rsidRPr="00325A20" w:rsidRDefault="00325A20" w:rsidP="00971178">
            <w:pPr>
              <w:spacing w:line="276" w:lineRule="auto"/>
              <w:jc w:val="both"/>
              <w:rPr>
                <w:rFonts w:ascii="Arial" w:hAnsi="Arial" w:cs="Arial"/>
                <w:lang w:eastAsia="x-none"/>
              </w:rPr>
            </w:pPr>
          </w:p>
        </w:tc>
        <w:tc>
          <w:tcPr>
            <w:tcW w:w="5783" w:type="dxa"/>
            <w:tcMar>
              <w:top w:w="57" w:type="dxa"/>
              <w:bottom w:w="57" w:type="dxa"/>
            </w:tcMar>
          </w:tcPr>
          <w:p w:rsidR="00325A20" w:rsidRPr="004B6B67" w:rsidRDefault="004B6B67" w:rsidP="004B6B67">
            <w:pPr>
              <w:spacing w:line="276" w:lineRule="auto"/>
              <w:jc w:val="both"/>
              <w:rPr>
                <w:rFonts w:ascii="Arial" w:hAnsi="Arial" w:cs="Arial"/>
                <w:b/>
                <w:lang w:val="hr-HR" w:eastAsia="x-none"/>
              </w:rPr>
            </w:pPr>
            <w:r w:rsidRPr="004B6B67">
              <w:rPr>
                <w:rFonts w:ascii="Arial" w:hAnsi="Arial" w:cs="Arial"/>
                <w:b/>
                <w:lang w:val="hr-HR" w:eastAsia="x-none"/>
              </w:rPr>
              <w:t xml:space="preserve">VSTV treba da napravi efikasno </w:t>
            </w:r>
            <w:r w:rsidRPr="004B6B67">
              <w:rPr>
                <w:rFonts w:ascii="Arial" w:hAnsi="Arial" w:cs="Arial"/>
                <w:b/>
                <w:i/>
                <w:lang w:val="hr-HR" w:eastAsia="x-none"/>
              </w:rPr>
              <w:t>online</w:t>
            </w:r>
            <w:r w:rsidRPr="004B6B67">
              <w:rPr>
                <w:rFonts w:ascii="Arial" w:hAnsi="Arial" w:cs="Arial"/>
                <w:b/>
                <w:lang w:val="hr-HR" w:eastAsia="x-none"/>
              </w:rPr>
              <w:t xml:space="preserve"> rješenje za popunjavanje ličnih finansijskih izvještaja:</w:t>
            </w:r>
            <w:r w:rsidRPr="004B6B67">
              <w:rPr>
                <w:rFonts w:ascii="Arial" w:hAnsi="Arial" w:cs="Arial"/>
                <w:lang w:val="hr-HR" w:eastAsia="x-none"/>
              </w:rPr>
              <w:t xml:space="preserve"> ovo r</w:t>
            </w:r>
            <w:r w:rsidR="00C75809">
              <w:rPr>
                <w:rFonts w:ascii="Arial" w:hAnsi="Arial" w:cs="Arial"/>
                <w:lang w:val="hr-HR" w:eastAsia="x-none"/>
              </w:rPr>
              <w:t>j</w:t>
            </w:r>
            <w:r w:rsidRPr="004B6B67">
              <w:rPr>
                <w:rFonts w:ascii="Arial" w:hAnsi="Arial" w:cs="Arial"/>
                <w:lang w:val="hr-HR" w:eastAsia="x-none"/>
              </w:rPr>
              <w:t xml:space="preserve">ešenje bi nosiocima pravosudnih funkcija trebalo da omogući popunjavanje formulara </w:t>
            </w:r>
            <w:r w:rsidRPr="004B6B67">
              <w:rPr>
                <w:rFonts w:ascii="Arial" w:hAnsi="Arial" w:cs="Arial"/>
                <w:i/>
                <w:lang w:val="hr-HR" w:eastAsia="x-none"/>
              </w:rPr>
              <w:t>online,</w:t>
            </w:r>
            <w:r w:rsidRPr="004B6B67">
              <w:rPr>
                <w:rFonts w:ascii="Arial" w:hAnsi="Arial" w:cs="Arial"/>
                <w:lang w:val="hr-HR" w:eastAsia="x-none"/>
              </w:rPr>
              <w:t xml:space="preserve"> a VSTV-u unakrsnu provjeru podataka, kako upoređivanjem više izvještaja, tako i upoređivanjem sa podacima iz vanjskih baza podataka, a na osnovu sporazuma sa nadležnim organima. To bi, ukoliko bi zakon u određenom trenutku to dozvolio, omogućilo objavljivanje izvještaja na internetu.</w:t>
            </w:r>
          </w:p>
        </w:tc>
        <w:tc>
          <w:tcPr>
            <w:tcW w:w="2466" w:type="dxa"/>
            <w:gridSpan w:val="3"/>
            <w:tcMar>
              <w:top w:w="57" w:type="dxa"/>
              <w:bottom w:w="57" w:type="dxa"/>
            </w:tcMar>
          </w:tcPr>
          <w:p w:rsidR="00325A20" w:rsidRPr="00F80FB5" w:rsidRDefault="00325A20" w:rsidP="00FB3204">
            <w:pPr>
              <w:spacing w:line="276" w:lineRule="auto"/>
              <w:rPr>
                <w:rFonts w:asciiTheme="majorHAnsi" w:hAnsiTheme="majorHAnsi" w:cs="Times New Roman"/>
                <w:sz w:val="16"/>
                <w:szCs w:val="16"/>
              </w:rPr>
            </w:pPr>
          </w:p>
        </w:tc>
      </w:tr>
      <w:tr w:rsidR="00325A20" w:rsidRPr="00F80FB5" w:rsidTr="00C37C1C">
        <w:tc>
          <w:tcPr>
            <w:tcW w:w="627" w:type="dxa"/>
            <w:tcMar>
              <w:top w:w="57" w:type="dxa"/>
              <w:bottom w:w="57" w:type="dxa"/>
            </w:tcMar>
          </w:tcPr>
          <w:p w:rsidR="00325A20" w:rsidRDefault="009408C2" w:rsidP="00FB3204">
            <w:pPr>
              <w:spacing w:line="276" w:lineRule="auto"/>
              <w:rPr>
                <w:rFonts w:asciiTheme="majorHAnsi" w:hAnsiTheme="majorHAnsi" w:cs="Times New Roman"/>
                <w:sz w:val="16"/>
                <w:szCs w:val="16"/>
              </w:rPr>
            </w:pPr>
            <w:r>
              <w:rPr>
                <w:rFonts w:asciiTheme="majorHAnsi" w:hAnsiTheme="majorHAnsi" w:cs="Times New Roman"/>
                <w:sz w:val="16"/>
                <w:szCs w:val="16"/>
              </w:rPr>
              <w:t>4</w:t>
            </w:r>
          </w:p>
        </w:tc>
        <w:tc>
          <w:tcPr>
            <w:tcW w:w="5889" w:type="dxa"/>
            <w:tcMar>
              <w:top w:w="57" w:type="dxa"/>
              <w:bottom w:w="57" w:type="dxa"/>
            </w:tcMar>
          </w:tcPr>
          <w:p w:rsidR="00325A20" w:rsidRPr="00325A20" w:rsidRDefault="00971178" w:rsidP="00325A20">
            <w:pPr>
              <w:spacing w:line="276" w:lineRule="auto"/>
              <w:jc w:val="both"/>
              <w:rPr>
                <w:rFonts w:ascii="Arial" w:hAnsi="Arial" w:cs="Arial"/>
                <w:lang w:eastAsia="x-none"/>
              </w:rPr>
            </w:pPr>
            <w:r w:rsidRPr="00971178">
              <w:rPr>
                <w:rFonts w:ascii="Arial" w:hAnsi="Arial" w:cs="Arial"/>
                <w:b/>
                <w:lang w:eastAsia="x-none"/>
              </w:rPr>
              <w:t xml:space="preserve">A structure within the HJPC </w:t>
            </w:r>
            <w:proofErr w:type="gramStart"/>
            <w:r w:rsidRPr="00971178">
              <w:rPr>
                <w:rFonts w:ascii="Arial" w:hAnsi="Arial" w:cs="Arial"/>
                <w:b/>
                <w:lang w:eastAsia="x-none"/>
              </w:rPr>
              <w:t>should be entrusted</w:t>
            </w:r>
            <w:proofErr w:type="gramEnd"/>
            <w:r w:rsidRPr="00971178">
              <w:rPr>
                <w:rFonts w:ascii="Arial" w:hAnsi="Arial" w:cs="Arial"/>
                <w:b/>
                <w:lang w:eastAsia="x-none"/>
              </w:rPr>
              <w:t xml:space="preserve"> with the responsibility to check the data contained in the financial disclosures:</w:t>
            </w:r>
            <w:r w:rsidRPr="00971178">
              <w:rPr>
                <w:rFonts w:ascii="Arial" w:hAnsi="Arial" w:cs="Arial"/>
                <w:lang w:eastAsia="x-none"/>
              </w:rPr>
              <w:t xml:space="preserve"> the monitoring of the financial disclosures, which is above all an administrative task, should be entrusted to an administrative structure within the HJPC. A small team of 3-4 people could be responsible for conducting all necessary checks of the data contained in the disclosure forms. In case of important discrepancies that could lead to a disciplinary case, this task force would have to pass over the file to the ODC for further investigation. </w:t>
            </w:r>
          </w:p>
        </w:tc>
        <w:tc>
          <w:tcPr>
            <w:tcW w:w="5783" w:type="dxa"/>
            <w:tcMar>
              <w:top w:w="57" w:type="dxa"/>
              <w:bottom w:w="57" w:type="dxa"/>
            </w:tcMar>
          </w:tcPr>
          <w:p w:rsidR="004B6B67" w:rsidRPr="004B6B67" w:rsidRDefault="004B6B67" w:rsidP="004B6B67">
            <w:pPr>
              <w:spacing w:line="276" w:lineRule="auto"/>
              <w:jc w:val="both"/>
              <w:rPr>
                <w:rFonts w:ascii="Arial" w:hAnsi="Arial" w:cs="Arial"/>
                <w:lang w:val="hr-HR" w:eastAsia="x-none"/>
              </w:rPr>
            </w:pPr>
            <w:r w:rsidRPr="004B6B67">
              <w:rPr>
                <w:rFonts w:ascii="Arial" w:hAnsi="Arial" w:cs="Arial"/>
                <w:b/>
                <w:lang w:val="hr-HR" w:eastAsia="x-none"/>
              </w:rPr>
              <w:t xml:space="preserve">Struktura unutar VSTV-a bi trebala biti zadužena za provjeru podataka sadržanih u finansijskim izvještajima: </w:t>
            </w:r>
            <w:r w:rsidRPr="004B6B67">
              <w:rPr>
                <w:rFonts w:ascii="Arial" w:hAnsi="Arial" w:cs="Arial"/>
                <w:lang w:val="hr-HR" w:eastAsia="x-none"/>
              </w:rPr>
              <w:t>praćenje finansijskih izvještaja, što je prije svega administrativni zadatak, treba biti povjereno administrativnoj strukturi unutar VSTV-a. Manji tim od 3-4 osobe bi mogao biti zadužen za vršenje svih potrebnih provjera podataka koji su n</w:t>
            </w:r>
            <w:r w:rsidR="00C75809">
              <w:rPr>
                <w:rFonts w:ascii="Arial" w:hAnsi="Arial" w:cs="Arial"/>
                <w:lang w:val="hr-HR" w:eastAsia="x-none"/>
              </w:rPr>
              <w:t>a</w:t>
            </w:r>
            <w:r w:rsidRPr="004B6B67">
              <w:rPr>
                <w:rFonts w:ascii="Arial" w:hAnsi="Arial" w:cs="Arial"/>
                <w:lang w:val="hr-HR" w:eastAsia="x-none"/>
              </w:rPr>
              <w:t>vedeni u formularima. U slučaju značajnih odstupanja koja bi mogla dovesti do disciplinskih postupaka, ovaj tim bi podatke trebao dostaviti UDT-u na dalju istragu.</w:t>
            </w:r>
          </w:p>
          <w:p w:rsidR="00325A20" w:rsidRPr="00C37C1C" w:rsidRDefault="00325A20" w:rsidP="004B6B67">
            <w:pPr>
              <w:spacing w:line="276" w:lineRule="auto"/>
              <w:jc w:val="both"/>
              <w:rPr>
                <w:rFonts w:ascii="Arial" w:hAnsi="Arial" w:cs="Arial"/>
                <w:lang w:val="hr-HR" w:eastAsia="x-none"/>
              </w:rPr>
            </w:pPr>
          </w:p>
        </w:tc>
        <w:tc>
          <w:tcPr>
            <w:tcW w:w="2466" w:type="dxa"/>
            <w:gridSpan w:val="3"/>
            <w:tcMar>
              <w:top w:w="57" w:type="dxa"/>
              <w:bottom w:w="57" w:type="dxa"/>
            </w:tcMar>
          </w:tcPr>
          <w:p w:rsidR="00325A20" w:rsidRPr="00F80FB5" w:rsidRDefault="00325A20" w:rsidP="00FB3204">
            <w:pPr>
              <w:spacing w:line="276" w:lineRule="auto"/>
              <w:rPr>
                <w:rFonts w:asciiTheme="majorHAnsi" w:hAnsiTheme="majorHAnsi" w:cs="Times New Roman"/>
                <w:sz w:val="16"/>
                <w:szCs w:val="16"/>
              </w:rPr>
            </w:pPr>
          </w:p>
        </w:tc>
      </w:tr>
      <w:tr w:rsidR="00325A20" w:rsidRPr="00F80FB5" w:rsidTr="00C37C1C">
        <w:tc>
          <w:tcPr>
            <w:tcW w:w="627" w:type="dxa"/>
            <w:tcMar>
              <w:top w:w="57" w:type="dxa"/>
              <w:bottom w:w="57" w:type="dxa"/>
            </w:tcMar>
          </w:tcPr>
          <w:p w:rsidR="00325A20" w:rsidRDefault="009408C2" w:rsidP="00FB3204">
            <w:pPr>
              <w:spacing w:line="276" w:lineRule="auto"/>
              <w:rPr>
                <w:rFonts w:asciiTheme="majorHAnsi" w:hAnsiTheme="majorHAnsi" w:cs="Times New Roman"/>
                <w:sz w:val="16"/>
                <w:szCs w:val="16"/>
              </w:rPr>
            </w:pPr>
            <w:r>
              <w:rPr>
                <w:rFonts w:asciiTheme="majorHAnsi" w:hAnsiTheme="majorHAnsi" w:cs="Times New Roman"/>
                <w:sz w:val="16"/>
                <w:szCs w:val="16"/>
              </w:rPr>
              <w:t>5</w:t>
            </w:r>
          </w:p>
        </w:tc>
        <w:tc>
          <w:tcPr>
            <w:tcW w:w="5889" w:type="dxa"/>
            <w:tcMar>
              <w:top w:w="57" w:type="dxa"/>
              <w:bottom w:w="57" w:type="dxa"/>
            </w:tcMar>
          </w:tcPr>
          <w:p w:rsidR="00325A20" w:rsidRPr="004B6B67" w:rsidRDefault="00971178" w:rsidP="00325A20">
            <w:pPr>
              <w:spacing w:line="276" w:lineRule="auto"/>
              <w:jc w:val="both"/>
              <w:rPr>
                <w:rFonts w:ascii="Arial" w:hAnsi="Arial" w:cs="Arial"/>
                <w:lang w:eastAsia="x-none"/>
              </w:rPr>
            </w:pPr>
            <w:r w:rsidRPr="00971178">
              <w:rPr>
                <w:rFonts w:ascii="Arial" w:hAnsi="Arial" w:cs="Arial"/>
                <w:b/>
                <w:lang w:eastAsia="x-none"/>
              </w:rPr>
              <w:t xml:space="preserve">The HJPC should design an annual control plan in order to determine which disclosure form to </w:t>
            </w:r>
            <w:r w:rsidRPr="00971178">
              <w:rPr>
                <w:rFonts w:ascii="Arial" w:hAnsi="Arial" w:cs="Arial"/>
                <w:b/>
                <w:lang w:eastAsia="x-none"/>
              </w:rPr>
              <w:lastRenderedPageBreak/>
              <w:t xml:space="preserve">monitor and how: </w:t>
            </w:r>
            <w:r w:rsidRPr="00971178">
              <w:rPr>
                <w:rFonts w:ascii="Arial" w:hAnsi="Arial" w:cs="Arial"/>
                <w:lang w:eastAsia="x-none"/>
              </w:rPr>
              <w:t xml:space="preserve">every financial disclosure undergo an “express” verification upon reception in order to check that there is no major discrepancy and that no incompatibility with the judicial function </w:t>
            </w:r>
            <w:proofErr w:type="gramStart"/>
            <w:r w:rsidRPr="00971178">
              <w:rPr>
                <w:rFonts w:ascii="Arial" w:hAnsi="Arial" w:cs="Arial"/>
                <w:lang w:eastAsia="x-none"/>
              </w:rPr>
              <w:t>is revealed</w:t>
            </w:r>
            <w:proofErr w:type="gramEnd"/>
            <w:r w:rsidRPr="00971178">
              <w:rPr>
                <w:rFonts w:ascii="Arial" w:hAnsi="Arial" w:cs="Arial"/>
                <w:lang w:eastAsia="x-none"/>
              </w:rPr>
              <w:t xml:space="preserve">. The most in-depth verifications could be limited to about 150 disclosures a year that </w:t>
            </w:r>
            <w:proofErr w:type="gramStart"/>
            <w:r w:rsidRPr="00971178">
              <w:rPr>
                <w:rFonts w:ascii="Arial" w:hAnsi="Arial" w:cs="Arial"/>
                <w:lang w:eastAsia="x-none"/>
              </w:rPr>
              <w:t>would have been chosen</w:t>
            </w:r>
            <w:proofErr w:type="gramEnd"/>
            <w:r w:rsidRPr="00971178">
              <w:rPr>
                <w:rFonts w:ascii="Arial" w:hAnsi="Arial" w:cs="Arial"/>
                <w:lang w:eastAsia="x-none"/>
              </w:rPr>
              <w:t xml:space="preserve"> thanks to predetermined criteria (prominent functions, random checks, red flags, outside information, automated checks).</w:t>
            </w:r>
          </w:p>
        </w:tc>
        <w:tc>
          <w:tcPr>
            <w:tcW w:w="5783" w:type="dxa"/>
            <w:tcMar>
              <w:top w:w="57" w:type="dxa"/>
              <w:bottom w:w="57" w:type="dxa"/>
            </w:tcMar>
          </w:tcPr>
          <w:p w:rsidR="00930AE6" w:rsidRPr="004B6B67" w:rsidRDefault="004B6B67" w:rsidP="00C75809">
            <w:pPr>
              <w:spacing w:line="276" w:lineRule="auto"/>
              <w:jc w:val="both"/>
              <w:rPr>
                <w:rFonts w:ascii="Arial" w:hAnsi="Arial" w:cs="Arial"/>
                <w:b/>
                <w:lang w:val="hr-HR" w:eastAsia="x-none"/>
              </w:rPr>
            </w:pPr>
            <w:r w:rsidRPr="004B6B67">
              <w:rPr>
                <w:rFonts w:ascii="Arial" w:hAnsi="Arial" w:cs="Arial"/>
                <w:b/>
                <w:lang w:val="hr-HR" w:eastAsia="x-none"/>
              </w:rPr>
              <w:lastRenderedPageBreak/>
              <w:t xml:space="preserve">VSTV treba da osmisli godišnji plan kontrole kako bi se utvrdilo koje lične finansijske </w:t>
            </w:r>
            <w:r w:rsidRPr="004B6B67">
              <w:rPr>
                <w:rFonts w:ascii="Arial" w:hAnsi="Arial" w:cs="Arial"/>
                <w:b/>
                <w:lang w:val="hr-HR" w:eastAsia="x-none"/>
              </w:rPr>
              <w:lastRenderedPageBreak/>
              <w:t>izvještaje treba pratiti i na koji način</w:t>
            </w:r>
            <w:r w:rsidRPr="004B6B67">
              <w:rPr>
                <w:rFonts w:ascii="Arial" w:hAnsi="Arial" w:cs="Arial"/>
                <w:lang w:val="hr-HR" w:eastAsia="x-none"/>
              </w:rPr>
              <w:t>: svi finansijski izvještaji treba da prođu "ekspresnu" provjeru kako bi se utvrdilo da li postoji neko veće odstupanje ili nespojivost sa pravosudnom funkcijom. Najsveobuhvatnije prov</w:t>
            </w:r>
            <w:r w:rsidR="00C75809">
              <w:rPr>
                <w:rFonts w:ascii="Arial" w:hAnsi="Arial" w:cs="Arial"/>
                <w:lang w:val="hr-HR" w:eastAsia="x-none"/>
              </w:rPr>
              <w:t>j</w:t>
            </w:r>
            <w:r w:rsidRPr="004B6B67">
              <w:rPr>
                <w:rFonts w:ascii="Arial" w:hAnsi="Arial" w:cs="Arial"/>
                <w:lang w:val="hr-HR" w:eastAsia="x-none"/>
              </w:rPr>
              <w:t>ere mogle bi biti ograničene na oko 150 izvještaja godišnje koji bi bil</w:t>
            </w:r>
            <w:r w:rsidR="00C75809">
              <w:rPr>
                <w:rFonts w:ascii="Arial" w:hAnsi="Arial" w:cs="Arial"/>
                <w:lang w:val="hr-HR" w:eastAsia="x-none"/>
              </w:rPr>
              <w:t>i</w:t>
            </w:r>
            <w:r w:rsidRPr="004B6B67">
              <w:rPr>
                <w:rFonts w:ascii="Arial" w:hAnsi="Arial" w:cs="Arial"/>
                <w:lang w:val="hr-HR" w:eastAsia="x-none"/>
              </w:rPr>
              <w:t xml:space="preserve"> odabrani zahvaljujući unaprijed utvrđenim kriterijumima (istaknute funkcije, slučajne provjere, alarmantni podaci, vanjske informacije, automatske provjere).</w:t>
            </w:r>
          </w:p>
        </w:tc>
        <w:tc>
          <w:tcPr>
            <w:tcW w:w="2466" w:type="dxa"/>
            <w:gridSpan w:val="3"/>
            <w:tcMar>
              <w:top w:w="57" w:type="dxa"/>
              <w:bottom w:w="57" w:type="dxa"/>
            </w:tcMar>
          </w:tcPr>
          <w:p w:rsidR="00325A20" w:rsidRPr="00F80FB5" w:rsidRDefault="00325A20" w:rsidP="00FB3204">
            <w:pPr>
              <w:spacing w:line="276" w:lineRule="auto"/>
              <w:rPr>
                <w:rFonts w:asciiTheme="majorHAnsi" w:hAnsiTheme="majorHAnsi" w:cs="Times New Roman"/>
                <w:sz w:val="16"/>
                <w:szCs w:val="16"/>
              </w:rPr>
            </w:pPr>
          </w:p>
        </w:tc>
      </w:tr>
      <w:tr w:rsidR="00DF613E" w:rsidRPr="00F80FB5" w:rsidTr="00C37C1C">
        <w:tc>
          <w:tcPr>
            <w:tcW w:w="627" w:type="dxa"/>
            <w:tcMar>
              <w:top w:w="57" w:type="dxa"/>
              <w:bottom w:w="57" w:type="dxa"/>
            </w:tcMar>
          </w:tcPr>
          <w:p w:rsidR="00DF613E" w:rsidRPr="00F80FB5" w:rsidRDefault="009408C2" w:rsidP="00FB3204">
            <w:pPr>
              <w:spacing w:line="276" w:lineRule="auto"/>
              <w:rPr>
                <w:rFonts w:asciiTheme="majorHAnsi" w:hAnsiTheme="majorHAnsi" w:cs="Times New Roman"/>
                <w:sz w:val="16"/>
                <w:szCs w:val="16"/>
              </w:rPr>
            </w:pPr>
            <w:r>
              <w:rPr>
                <w:rFonts w:asciiTheme="majorHAnsi" w:hAnsiTheme="majorHAnsi" w:cs="Times New Roman"/>
                <w:sz w:val="16"/>
                <w:szCs w:val="16"/>
              </w:rPr>
              <w:t>6</w:t>
            </w:r>
          </w:p>
        </w:tc>
        <w:tc>
          <w:tcPr>
            <w:tcW w:w="5889" w:type="dxa"/>
            <w:tcMar>
              <w:top w:w="57" w:type="dxa"/>
              <w:bottom w:w="57" w:type="dxa"/>
            </w:tcMar>
          </w:tcPr>
          <w:p w:rsidR="00DF613E" w:rsidRPr="00E9366D" w:rsidRDefault="00971178" w:rsidP="00120B7B">
            <w:pPr>
              <w:spacing w:line="276" w:lineRule="auto"/>
              <w:jc w:val="both"/>
              <w:rPr>
                <w:rFonts w:ascii="Arial" w:hAnsi="Arial" w:cs="Arial"/>
                <w:lang w:eastAsia="x-none"/>
              </w:rPr>
            </w:pPr>
            <w:proofErr w:type="gramStart"/>
            <w:r w:rsidRPr="00971178">
              <w:rPr>
                <w:rFonts w:ascii="Arial" w:hAnsi="Arial" w:cs="Arial"/>
                <w:b/>
                <w:lang w:eastAsia="x-none"/>
              </w:rPr>
              <w:t xml:space="preserve">The Law on HJPC should be amended to allow the HJPC to obtain any relevant information from other institutions: </w:t>
            </w:r>
            <w:r w:rsidRPr="00971178">
              <w:rPr>
                <w:rFonts w:ascii="Arial" w:hAnsi="Arial" w:cs="Arial"/>
                <w:lang w:eastAsia="x-none"/>
              </w:rPr>
              <w:t>it should include a legal provision stating that no public or private institution can withhold any information or document, even covered by banking secrecy, requested by the HJPC in respect of its prerogative to monitor the financial disclosures of judges and prosecutors.</w:t>
            </w:r>
            <w:proofErr w:type="gramEnd"/>
            <w:r w:rsidRPr="00971178">
              <w:rPr>
                <w:rFonts w:ascii="Arial" w:hAnsi="Arial" w:cs="Arial"/>
                <w:lang w:eastAsia="x-none"/>
              </w:rPr>
              <w:t xml:space="preserve"> In the </w:t>
            </w:r>
            <w:proofErr w:type="gramStart"/>
            <w:r w:rsidRPr="00971178">
              <w:rPr>
                <w:rFonts w:ascii="Arial" w:hAnsi="Arial" w:cs="Arial"/>
                <w:lang w:eastAsia="x-none"/>
              </w:rPr>
              <w:t>meantime</w:t>
            </w:r>
            <w:proofErr w:type="gramEnd"/>
            <w:r w:rsidRPr="00971178">
              <w:rPr>
                <w:rFonts w:ascii="Arial" w:hAnsi="Arial" w:cs="Arial"/>
                <w:lang w:eastAsia="x-none"/>
              </w:rPr>
              <w:t xml:space="preserve"> the HJPC should make contact with relevant institutions, notably the tax administration, in order to determine which information could be provided to help monitoring the financial disclosures of members of the judiciary. Memorandums of understanding </w:t>
            </w:r>
            <w:proofErr w:type="gramStart"/>
            <w:r w:rsidRPr="00971178">
              <w:rPr>
                <w:rFonts w:ascii="Arial" w:hAnsi="Arial" w:cs="Arial"/>
                <w:lang w:eastAsia="x-none"/>
              </w:rPr>
              <w:t>could also be signed</w:t>
            </w:r>
            <w:proofErr w:type="gramEnd"/>
            <w:r w:rsidRPr="00971178">
              <w:rPr>
                <w:rFonts w:ascii="Arial" w:hAnsi="Arial" w:cs="Arial"/>
                <w:lang w:eastAsia="x-none"/>
              </w:rPr>
              <w:t xml:space="preserve"> to ratify this kind of cooperation. </w:t>
            </w:r>
          </w:p>
        </w:tc>
        <w:tc>
          <w:tcPr>
            <w:tcW w:w="5783" w:type="dxa"/>
            <w:tcMar>
              <w:top w:w="57" w:type="dxa"/>
              <w:bottom w:w="57" w:type="dxa"/>
            </w:tcMar>
          </w:tcPr>
          <w:p w:rsidR="00DF613E" w:rsidRPr="00C75809" w:rsidRDefault="004B6B67" w:rsidP="00120B7B">
            <w:pPr>
              <w:spacing w:line="276" w:lineRule="auto"/>
              <w:jc w:val="both"/>
              <w:rPr>
                <w:rFonts w:ascii="Arial" w:hAnsi="Arial" w:cs="Arial"/>
                <w:lang w:val="hr-HR" w:eastAsia="x-none"/>
              </w:rPr>
            </w:pPr>
            <w:r w:rsidRPr="004B6B67">
              <w:rPr>
                <w:rFonts w:ascii="Arial" w:hAnsi="Arial" w:cs="Arial"/>
                <w:b/>
                <w:lang w:val="hr-HR" w:eastAsia="x-none"/>
              </w:rPr>
              <w:t>Zakon o VSTV-u bi trebalo izmijeniti na način da se VSTV-u omogući da dobije relevantne informacije od drugih institucija:</w:t>
            </w:r>
            <w:r w:rsidRPr="004B6B67">
              <w:rPr>
                <w:rFonts w:ascii="Arial" w:hAnsi="Arial" w:cs="Arial"/>
                <w:lang w:val="hr-HR" w:eastAsia="x-none"/>
              </w:rPr>
              <w:t xml:space="preserve"> trebalo bi uključiti zakonsku odredbu prema kojoj nijedna javna ili privatna institucija ne može zadržati bilo koju informaciju ili dokument, uključujući i one koje pre</w:t>
            </w:r>
            <w:r w:rsidR="00C75809">
              <w:rPr>
                <w:rFonts w:ascii="Arial" w:hAnsi="Arial" w:cs="Arial"/>
                <w:lang w:val="hr-HR" w:eastAsia="x-none"/>
              </w:rPr>
              <w:t>d</w:t>
            </w:r>
            <w:r w:rsidRPr="004B6B67">
              <w:rPr>
                <w:rFonts w:ascii="Arial" w:hAnsi="Arial" w:cs="Arial"/>
                <w:lang w:val="hr-HR" w:eastAsia="x-none"/>
              </w:rPr>
              <w:t>stavljaju bankarsku tajnu, a koje VSTV zatraži u vezi sa vršenjem svojih nadležnosti u pogledu praćenja ličnih finansijskih izvještaja sudija i tužilaca. U međuvremenu, VSTV treba da stupi u kontakt sa nadležnim institucijama, posebno sa poreskom upravom, kako bi se utvrdilo koje informacije mogu pomoći u praćenju ličnih finansijskih izvještaja nosilaca pravosudnih funkcija. Kako bi se ratifikovala ova vrsta saradnje mogu se potpisati memorandumi o razumijevanju.</w:t>
            </w:r>
          </w:p>
        </w:tc>
        <w:tc>
          <w:tcPr>
            <w:tcW w:w="2466" w:type="dxa"/>
            <w:gridSpan w:val="3"/>
            <w:tcMar>
              <w:top w:w="57" w:type="dxa"/>
              <w:bottom w:w="57" w:type="dxa"/>
            </w:tcMar>
          </w:tcPr>
          <w:p w:rsidR="00DF613E" w:rsidRPr="00F80FB5" w:rsidRDefault="00DF613E" w:rsidP="00FB3204">
            <w:pPr>
              <w:spacing w:line="276" w:lineRule="auto"/>
              <w:rPr>
                <w:rFonts w:asciiTheme="majorHAnsi" w:hAnsiTheme="majorHAnsi" w:cs="Times New Roman"/>
                <w:sz w:val="16"/>
                <w:szCs w:val="16"/>
              </w:rPr>
            </w:pPr>
          </w:p>
        </w:tc>
      </w:tr>
      <w:tr w:rsidR="00120B7B" w:rsidRPr="00F80FB5" w:rsidTr="00C37C1C">
        <w:tc>
          <w:tcPr>
            <w:tcW w:w="627" w:type="dxa"/>
            <w:tcMar>
              <w:top w:w="57" w:type="dxa"/>
              <w:bottom w:w="57" w:type="dxa"/>
            </w:tcMar>
          </w:tcPr>
          <w:p w:rsidR="00120B7B" w:rsidRDefault="00120B7B" w:rsidP="00FB3204">
            <w:pPr>
              <w:spacing w:line="276" w:lineRule="auto"/>
              <w:rPr>
                <w:rFonts w:asciiTheme="majorHAnsi" w:hAnsiTheme="majorHAnsi" w:cs="Times New Roman"/>
                <w:sz w:val="16"/>
                <w:szCs w:val="16"/>
              </w:rPr>
            </w:pPr>
            <w:r>
              <w:rPr>
                <w:rFonts w:asciiTheme="majorHAnsi" w:hAnsiTheme="majorHAnsi" w:cs="Times New Roman"/>
                <w:sz w:val="16"/>
                <w:szCs w:val="16"/>
              </w:rPr>
              <w:t>7</w:t>
            </w:r>
          </w:p>
        </w:tc>
        <w:tc>
          <w:tcPr>
            <w:tcW w:w="5889" w:type="dxa"/>
            <w:tcMar>
              <w:top w:w="57" w:type="dxa"/>
              <w:bottom w:w="57" w:type="dxa"/>
            </w:tcMar>
          </w:tcPr>
          <w:p w:rsidR="00120B7B" w:rsidRPr="00E9366D" w:rsidRDefault="00971178" w:rsidP="00971178">
            <w:pPr>
              <w:spacing w:line="276" w:lineRule="auto"/>
              <w:jc w:val="both"/>
              <w:rPr>
                <w:rFonts w:ascii="Arial" w:hAnsi="Arial" w:cs="Arial"/>
                <w:lang w:eastAsia="x-none"/>
              </w:rPr>
            </w:pPr>
            <w:r w:rsidRPr="00971178">
              <w:rPr>
                <w:rFonts w:ascii="Arial" w:hAnsi="Arial" w:cs="Arial"/>
                <w:b/>
                <w:lang w:eastAsia="x-none"/>
              </w:rPr>
              <w:t xml:space="preserve">The financial disclosures monitoring should lead to appropriate measures depending on the result </w:t>
            </w:r>
            <w:r w:rsidRPr="00971178">
              <w:rPr>
                <w:rFonts w:ascii="Arial" w:hAnsi="Arial" w:cs="Arial"/>
                <w:b/>
                <w:lang w:eastAsia="x-none"/>
              </w:rPr>
              <w:lastRenderedPageBreak/>
              <w:t xml:space="preserve">of the verification: </w:t>
            </w:r>
            <w:r w:rsidRPr="00971178">
              <w:rPr>
                <w:rFonts w:ascii="Arial" w:hAnsi="Arial" w:cs="Arial"/>
                <w:lang w:eastAsia="x-none"/>
              </w:rPr>
              <w:t>If the monitoring reveals a potential incompatibility with the judicial function, the structure in charge of monitoring should refer the case to the HJPC Ethics committee, in order to rule on this matter.</w:t>
            </w:r>
            <w:r w:rsidRPr="00971178">
              <w:rPr>
                <w:rFonts w:ascii="Arial" w:hAnsi="Arial" w:cs="Arial"/>
                <w:b/>
                <w:lang w:eastAsia="x-none"/>
              </w:rPr>
              <w:t xml:space="preserve"> </w:t>
            </w:r>
            <w:r w:rsidRPr="00971178">
              <w:rPr>
                <w:rFonts w:ascii="Arial" w:hAnsi="Arial" w:cs="Arial"/>
                <w:lang w:eastAsia="x-none"/>
              </w:rPr>
              <w:t xml:space="preserve">If the monitoring reveals that information </w:t>
            </w:r>
            <w:proofErr w:type="gramStart"/>
            <w:r w:rsidRPr="00971178">
              <w:rPr>
                <w:rFonts w:ascii="Arial" w:hAnsi="Arial" w:cs="Arial"/>
                <w:lang w:eastAsia="x-none"/>
              </w:rPr>
              <w:t>might have been omitted or inaccurately disclosed,</w:t>
            </w:r>
            <w:proofErr w:type="gramEnd"/>
            <w:r w:rsidRPr="00971178">
              <w:rPr>
                <w:rFonts w:ascii="Arial" w:hAnsi="Arial" w:cs="Arial"/>
                <w:lang w:eastAsia="x-none"/>
              </w:rPr>
              <w:t xml:space="preserve"> the financial disclosure should be passed over to the ODC for further investigation. Finally, if the monitoring reveals that a criminal offence might have been committed, for example a case of corruption, the file </w:t>
            </w:r>
            <w:proofErr w:type="gramStart"/>
            <w:r w:rsidRPr="00971178">
              <w:rPr>
                <w:rFonts w:ascii="Arial" w:hAnsi="Arial" w:cs="Arial"/>
                <w:lang w:eastAsia="x-none"/>
              </w:rPr>
              <w:t>should be passed over</w:t>
            </w:r>
            <w:proofErr w:type="gramEnd"/>
            <w:r w:rsidRPr="00971178">
              <w:rPr>
                <w:rFonts w:ascii="Arial" w:hAnsi="Arial" w:cs="Arial"/>
                <w:lang w:eastAsia="x-none"/>
              </w:rPr>
              <w:t xml:space="preserve"> to the relevant prosecutor.</w:t>
            </w:r>
          </w:p>
        </w:tc>
        <w:tc>
          <w:tcPr>
            <w:tcW w:w="5783" w:type="dxa"/>
            <w:tcMar>
              <w:top w:w="57" w:type="dxa"/>
              <w:bottom w:w="57" w:type="dxa"/>
            </w:tcMar>
          </w:tcPr>
          <w:p w:rsidR="00120B7B" w:rsidRPr="00043DE2" w:rsidRDefault="004B6B67" w:rsidP="00930AE6">
            <w:pPr>
              <w:spacing w:line="276" w:lineRule="auto"/>
              <w:jc w:val="both"/>
              <w:rPr>
                <w:rFonts w:ascii="Arial" w:eastAsia="Times New Roman" w:hAnsi="Arial" w:cs="Arial"/>
                <w:lang w:val="hr-HR" w:eastAsia="x-none"/>
              </w:rPr>
            </w:pPr>
            <w:r w:rsidRPr="004B6B67">
              <w:rPr>
                <w:rFonts w:ascii="Arial" w:eastAsia="Times New Roman" w:hAnsi="Arial" w:cs="Arial"/>
                <w:b/>
                <w:lang w:val="hr-HR" w:eastAsia="x-none"/>
              </w:rPr>
              <w:lastRenderedPageBreak/>
              <w:t xml:space="preserve">Praćenje finansijskih izvještaja bi trebalo da dovede do odgovarajućih mjera u zavisnosti od </w:t>
            </w:r>
            <w:r w:rsidRPr="004B6B67">
              <w:rPr>
                <w:rFonts w:ascii="Arial" w:eastAsia="Times New Roman" w:hAnsi="Arial" w:cs="Arial"/>
                <w:b/>
                <w:lang w:val="hr-HR" w:eastAsia="x-none"/>
              </w:rPr>
              <w:lastRenderedPageBreak/>
              <w:t>rezultata provjere:</w:t>
            </w:r>
            <w:r w:rsidRPr="004B6B67">
              <w:rPr>
                <w:rFonts w:ascii="Arial" w:eastAsia="Times New Roman" w:hAnsi="Arial" w:cs="Arial"/>
                <w:lang w:val="hr-HR" w:eastAsia="x-none"/>
              </w:rPr>
              <w:t xml:space="preserve"> Ukoliko se otkrije eventualna nespojivost sa pravosudnom funkcijom, nadležna struktura slučaj treba uputiti Stalnoj komisiji za etiku VSTV-a, u cilju donošenja odluke po ovom pitanju. Ukoliko se pokaže da su neke informacije možda izostavljene ili netačno navedene, dati finansijski izvještaj treba dostaviti UDT-u na dalju istragu. Na kraju, ako se utvrdi da postoji mogućnost da je počinjeno krivično djelo, ukoliko se na primjer radi o slučaju korupcije, predmet treba proslijediti nadležnom tužilaštvu na dalju istragu.</w:t>
            </w:r>
          </w:p>
        </w:tc>
        <w:tc>
          <w:tcPr>
            <w:tcW w:w="2466" w:type="dxa"/>
            <w:gridSpan w:val="3"/>
            <w:tcMar>
              <w:top w:w="57" w:type="dxa"/>
              <w:bottom w:w="57" w:type="dxa"/>
            </w:tcMar>
          </w:tcPr>
          <w:p w:rsidR="00120B7B" w:rsidRPr="00F80FB5" w:rsidRDefault="00120B7B" w:rsidP="00FB3204">
            <w:pPr>
              <w:spacing w:line="276" w:lineRule="auto"/>
              <w:rPr>
                <w:rFonts w:asciiTheme="majorHAnsi" w:hAnsiTheme="majorHAnsi" w:cs="Times New Roman"/>
                <w:sz w:val="16"/>
                <w:szCs w:val="16"/>
              </w:rPr>
            </w:pPr>
          </w:p>
        </w:tc>
      </w:tr>
      <w:tr w:rsidR="00E9366D" w:rsidRPr="00F80FB5" w:rsidTr="00C37C1C">
        <w:tc>
          <w:tcPr>
            <w:tcW w:w="627" w:type="dxa"/>
            <w:tcMar>
              <w:top w:w="57" w:type="dxa"/>
              <w:bottom w:w="57" w:type="dxa"/>
            </w:tcMar>
          </w:tcPr>
          <w:p w:rsidR="00E9366D" w:rsidRDefault="00120B7B" w:rsidP="00FB3204">
            <w:pPr>
              <w:spacing w:line="276" w:lineRule="auto"/>
              <w:rPr>
                <w:rFonts w:asciiTheme="majorHAnsi" w:hAnsiTheme="majorHAnsi" w:cs="Times New Roman"/>
                <w:sz w:val="16"/>
                <w:szCs w:val="16"/>
              </w:rPr>
            </w:pPr>
            <w:r>
              <w:rPr>
                <w:rFonts w:asciiTheme="majorHAnsi" w:hAnsiTheme="majorHAnsi" w:cs="Times New Roman"/>
                <w:sz w:val="16"/>
                <w:szCs w:val="16"/>
              </w:rPr>
              <w:t>8</w:t>
            </w:r>
          </w:p>
        </w:tc>
        <w:tc>
          <w:tcPr>
            <w:tcW w:w="5889" w:type="dxa"/>
            <w:tcMar>
              <w:top w:w="57" w:type="dxa"/>
              <w:bottom w:w="57" w:type="dxa"/>
            </w:tcMar>
          </w:tcPr>
          <w:p w:rsidR="00E9366D" w:rsidRPr="00E9366D" w:rsidRDefault="00971178" w:rsidP="00E9366D">
            <w:pPr>
              <w:spacing w:line="276" w:lineRule="auto"/>
              <w:jc w:val="both"/>
              <w:rPr>
                <w:rFonts w:ascii="Arial" w:hAnsi="Arial" w:cs="Arial"/>
                <w:lang w:eastAsia="x-none"/>
              </w:rPr>
            </w:pPr>
            <w:r w:rsidRPr="00971178">
              <w:rPr>
                <w:rFonts w:ascii="Arial" w:hAnsi="Arial" w:cs="Arial"/>
                <w:b/>
                <w:lang w:eastAsia="x-none"/>
              </w:rPr>
              <w:t xml:space="preserve">8°/ The law on HJPC </w:t>
            </w:r>
            <w:proofErr w:type="gramStart"/>
            <w:r w:rsidRPr="00971178">
              <w:rPr>
                <w:rFonts w:ascii="Arial" w:hAnsi="Arial" w:cs="Arial"/>
                <w:b/>
                <w:lang w:eastAsia="x-none"/>
              </w:rPr>
              <w:t>should be amended</w:t>
            </w:r>
            <w:proofErr w:type="gramEnd"/>
            <w:r w:rsidRPr="00971178">
              <w:rPr>
                <w:rFonts w:ascii="Arial" w:hAnsi="Arial" w:cs="Arial"/>
                <w:b/>
                <w:lang w:eastAsia="x-none"/>
              </w:rPr>
              <w:t xml:space="preserve"> to allow a broad publication of financial disclosures of members of the judiciary: </w:t>
            </w:r>
            <w:r w:rsidRPr="00971178">
              <w:rPr>
                <w:rFonts w:ascii="Arial" w:hAnsi="Arial" w:cs="Arial"/>
                <w:lang w:eastAsia="x-none"/>
              </w:rPr>
              <w:t>online</w:t>
            </w:r>
            <w:r w:rsidRPr="00971178">
              <w:rPr>
                <w:rFonts w:ascii="Arial" w:hAnsi="Arial" w:cs="Arial"/>
                <w:b/>
                <w:lang w:eastAsia="x-none"/>
              </w:rPr>
              <w:t xml:space="preserve"> </w:t>
            </w:r>
            <w:r w:rsidRPr="00971178">
              <w:rPr>
                <w:rFonts w:ascii="Arial" w:hAnsi="Arial" w:cs="Arial"/>
                <w:lang w:eastAsia="x-none"/>
              </w:rPr>
              <w:t>publication should be authorized under certain conditions, in order to strike a balance between transparency and right to privacy. This balance could be ensured by redacting sensitive information from the form before publishing it; notably all information that would enable a third party to locate an asset (real-estate addresses, bank account numbers, etc.) and all information related to the identification of family members (information regarding their assets and interests should be made public but not their identity).</w:t>
            </w:r>
          </w:p>
        </w:tc>
        <w:tc>
          <w:tcPr>
            <w:tcW w:w="5783" w:type="dxa"/>
            <w:tcMar>
              <w:top w:w="57" w:type="dxa"/>
              <w:bottom w:w="57" w:type="dxa"/>
            </w:tcMar>
          </w:tcPr>
          <w:p w:rsidR="00E9366D" w:rsidRPr="00D52EB0" w:rsidRDefault="004B6B67" w:rsidP="00D07AA6">
            <w:pPr>
              <w:spacing w:line="276" w:lineRule="auto"/>
              <w:jc w:val="both"/>
              <w:rPr>
                <w:rFonts w:ascii="Arial" w:eastAsia="Times New Roman" w:hAnsi="Arial" w:cs="Arial"/>
                <w:lang w:val="hr-HR" w:eastAsia="x-none"/>
              </w:rPr>
            </w:pPr>
            <w:r w:rsidRPr="004B6B67">
              <w:rPr>
                <w:rFonts w:ascii="Arial" w:eastAsia="Times New Roman" w:hAnsi="Arial" w:cs="Arial"/>
                <w:b/>
                <w:lang w:val="hr-HR" w:eastAsia="x-none"/>
              </w:rPr>
              <w:t xml:space="preserve">8°/ Zakon o VSTV-u treba izmijeniti na način da se omogući javno objavljivanje ličnih finansijskih izvještaja nosilaca pravosudnih funkcija. </w:t>
            </w:r>
            <w:r w:rsidRPr="004B6B67">
              <w:rPr>
                <w:rFonts w:ascii="Arial" w:eastAsia="Times New Roman" w:hAnsi="Arial" w:cs="Arial"/>
                <w:lang w:val="hr-HR" w:eastAsia="x-none"/>
              </w:rPr>
              <w:t xml:space="preserve">Potrebno je dozvoliti </w:t>
            </w:r>
            <w:r w:rsidRPr="004B6B67">
              <w:rPr>
                <w:rFonts w:ascii="Arial" w:eastAsia="Times New Roman" w:hAnsi="Arial" w:cs="Arial"/>
                <w:i/>
                <w:lang w:val="hr-HR" w:eastAsia="x-none"/>
              </w:rPr>
              <w:t>online</w:t>
            </w:r>
            <w:r w:rsidRPr="004B6B67">
              <w:rPr>
                <w:rFonts w:ascii="Arial" w:eastAsia="Times New Roman" w:hAnsi="Arial" w:cs="Arial"/>
                <w:lang w:val="hr-HR" w:eastAsia="x-none"/>
              </w:rPr>
              <w:t xml:space="preserve"> objavljivanje pod određenim uslovima kako bi se ostvario balans između transparentnosti i prava na privatnost. Ovaj balans bi se mogao osigurati redigovanjem osjetljivih informacija iz formulara prije njihovog objavljivanja; svih informacija koje bi trećoj strani omogućile da pronađe imovinu (adrese nekretnina, brojevi bankovnih računa itd.) i svih informacija koje se odnose na identifikaciju članova porodica (informacije o njihovoj imovini i interesima treba objaviti, ali ne i njihov identitet).</w:t>
            </w:r>
          </w:p>
        </w:tc>
        <w:tc>
          <w:tcPr>
            <w:tcW w:w="2466" w:type="dxa"/>
            <w:gridSpan w:val="3"/>
            <w:tcMar>
              <w:top w:w="57" w:type="dxa"/>
              <w:bottom w:w="57" w:type="dxa"/>
            </w:tcMar>
          </w:tcPr>
          <w:p w:rsidR="00E9366D" w:rsidRPr="00F80FB5" w:rsidRDefault="00E9366D" w:rsidP="00FB3204">
            <w:pPr>
              <w:spacing w:line="276" w:lineRule="auto"/>
              <w:rPr>
                <w:rFonts w:asciiTheme="majorHAnsi" w:hAnsiTheme="majorHAnsi" w:cs="Times New Roman"/>
                <w:sz w:val="16"/>
                <w:szCs w:val="16"/>
              </w:rPr>
            </w:pPr>
          </w:p>
        </w:tc>
      </w:tr>
      <w:tr w:rsidR="00E9366D" w:rsidRPr="00F80FB5" w:rsidTr="00C37C1C">
        <w:tc>
          <w:tcPr>
            <w:tcW w:w="627" w:type="dxa"/>
            <w:tcMar>
              <w:top w:w="57" w:type="dxa"/>
              <w:bottom w:w="57" w:type="dxa"/>
            </w:tcMar>
          </w:tcPr>
          <w:p w:rsidR="00E9366D" w:rsidRDefault="00120B7B" w:rsidP="00FB3204">
            <w:pPr>
              <w:spacing w:line="276" w:lineRule="auto"/>
              <w:rPr>
                <w:rFonts w:asciiTheme="majorHAnsi" w:hAnsiTheme="majorHAnsi" w:cs="Times New Roman"/>
                <w:sz w:val="16"/>
                <w:szCs w:val="16"/>
              </w:rPr>
            </w:pPr>
            <w:r>
              <w:rPr>
                <w:rFonts w:asciiTheme="majorHAnsi" w:hAnsiTheme="majorHAnsi" w:cs="Times New Roman"/>
                <w:sz w:val="16"/>
                <w:szCs w:val="16"/>
              </w:rPr>
              <w:t>9</w:t>
            </w:r>
          </w:p>
        </w:tc>
        <w:tc>
          <w:tcPr>
            <w:tcW w:w="5889" w:type="dxa"/>
            <w:tcMar>
              <w:top w:w="57" w:type="dxa"/>
              <w:bottom w:w="57" w:type="dxa"/>
            </w:tcMar>
          </w:tcPr>
          <w:p w:rsidR="00E9366D" w:rsidRPr="00E9366D" w:rsidRDefault="00971178" w:rsidP="00971178">
            <w:pPr>
              <w:spacing w:line="276" w:lineRule="auto"/>
              <w:jc w:val="both"/>
              <w:rPr>
                <w:rFonts w:ascii="Arial" w:hAnsi="Arial" w:cs="Arial"/>
                <w:lang w:eastAsia="x-none"/>
              </w:rPr>
            </w:pPr>
            <w:proofErr w:type="gramStart"/>
            <w:r w:rsidRPr="00971178">
              <w:rPr>
                <w:rFonts w:ascii="Arial" w:hAnsi="Arial" w:cs="Arial"/>
                <w:b/>
                <w:lang w:eastAsia="x-none"/>
              </w:rPr>
              <w:t xml:space="preserve">Under the current legal framework, the HJPC should consider granting more requests made </w:t>
            </w:r>
            <w:r w:rsidRPr="00971178">
              <w:rPr>
                <w:rFonts w:ascii="Arial" w:hAnsi="Arial" w:cs="Arial"/>
                <w:b/>
                <w:lang w:eastAsia="x-none"/>
              </w:rPr>
              <w:lastRenderedPageBreak/>
              <w:t xml:space="preserve">under the freedom of access to information act: </w:t>
            </w:r>
            <w:r w:rsidRPr="00971178">
              <w:rPr>
                <w:rFonts w:ascii="Arial" w:hAnsi="Arial" w:cs="Arial"/>
                <w:lang w:eastAsia="x-none"/>
              </w:rPr>
              <w:t>every time a request is made and the public office holder does not consent to make his/her financial disclosure available, the HJPC should determine if the information contained in the financial disclosure passes the “</w:t>
            </w:r>
            <w:r w:rsidRPr="00971178">
              <w:rPr>
                <w:rFonts w:ascii="Arial" w:hAnsi="Arial" w:cs="Arial"/>
                <w:i/>
                <w:lang w:eastAsia="x-none"/>
              </w:rPr>
              <w:t>public interest test</w:t>
            </w:r>
            <w:r w:rsidRPr="00971178">
              <w:rPr>
                <w:rFonts w:ascii="Arial" w:hAnsi="Arial" w:cs="Arial"/>
                <w:lang w:eastAsia="x-none"/>
              </w:rPr>
              <w:t>” mentioned in the article 9 of the freedom of access to information act, in order to decide whether it should be disclosed or not.</w:t>
            </w:r>
            <w:proofErr w:type="gramEnd"/>
            <w:r w:rsidRPr="00971178">
              <w:rPr>
                <w:rFonts w:ascii="Arial" w:hAnsi="Arial" w:cs="Arial"/>
                <w:lang w:eastAsia="x-none"/>
              </w:rPr>
              <w:t xml:space="preserve"> For example, requests </w:t>
            </w:r>
            <w:proofErr w:type="gramStart"/>
            <w:r w:rsidRPr="00971178">
              <w:rPr>
                <w:rFonts w:ascii="Arial" w:hAnsi="Arial" w:cs="Arial"/>
                <w:lang w:eastAsia="x-none"/>
              </w:rPr>
              <w:t>could be granted</w:t>
            </w:r>
            <w:proofErr w:type="gramEnd"/>
            <w:r w:rsidRPr="00971178">
              <w:rPr>
                <w:rFonts w:ascii="Arial" w:hAnsi="Arial" w:cs="Arial"/>
                <w:lang w:eastAsia="x-none"/>
              </w:rPr>
              <w:t xml:space="preserve"> at least for the most prominent positions in the judiciary.</w:t>
            </w:r>
          </w:p>
        </w:tc>
        <w:tc>
          <w:tcPr>
            <w:tcW w:w="5783" w:type="dxa"/>
            <w:tcMar>
              <w:top w:w="57" w:type="dxa"/>
              <w:bottom w:w="57" w:type="dxa"/>
            </w:tcMar>
          </w:tcPr>
          <w:p w:rsidR="00E9366D" w:rsidRPr="004B6B67" w:rsidRDefault="004B6B67" w:rsidP="00D07AA6">
            <w:pPr>
              <w:spacing w:line="276" w:lineRule="auto"/>
              <w:jc w:val="both"/>
              <w:rPr>
                <w:rFonts w:ascii="Arial" w:eastAsia="Times New Roman" w:hAnsi="Arial" w:cs="Arial"/>
                <w:b/>
                <w:lang w:val="hr-HR" w:eastAsia="x-none"/>
              </w:rPr>
            </w:pPr>
            <w:r w:rsidRPr="004B6B67">
              <w:rPr>
                <w:rFonts w:ascii="Arial" w:eastAsia="Times New Roman" w:hAnsi="Arial" w:cs="Arial"/>
                <w:b/>
                <w:lang w:val="hr-HR" w:eastAsia="x-none"/>
              </w:rPr>
              <w:lastRenderedPageBreak/>
              <w:t xml:space="preserve">Prema postojećem zakonskom okviru, VSTV bi trebao razmotriti odobravanje zahtjeva podnijetih </w:t>
            </w:r>
            <w:r w:rsidRPr="004B6B67">
              <w:rPr>
                <w:rFonts w:ascii="Arial" w:eastAsia="Times New Roman" w:hAnsi="Arial" w:cs="Arial"/>
                <w:b/>
                <w:lang w:val="hr-HR" w:eastAsia="x-none"/>
              </w:rPr>
              <w:lastRenderedPageBreak/>
              <w:t xml:space="preserve">na osnovu Zakona o slobodi pristupa informacijama: </w:t>
            </w:r>
            <w:r w:rsidRPr="004B6B67">
              <w:rPr>
                <w:rFonts w:ascii="Arial" w:eastAsia="Times New Roman" w:hAnsi="Arial" w:cs="Arial"/>
                <w:lang w:val="hr-HR" w:eastAsia="x-none"/>
              </w:rPr>
              <w:t>svaki put kada se podnese zahtjev i nosilac javne funkcije ne pristane da se njegov finansijski izvještaj objavi, VSTV treba da utvrdi da li informacije sadržane u tom finansijskom izvještaju zadovoljavaju kriterij "javnog interesa" kao što je navedeno u članu 9. Zakona o slobodi pristupa informacijama, kako bi se odlučilo da li one trebaju biti objavljene ili ne. Na primjer, zahtjevi bi mogli biti odobreni barem za najistaknutije pozicije u pravosuđu.</w:t>
            </w:r>
          </w:p>
        </w:tc>
        <w:tc>
          <w:tcPr>
            <w:tcW w:w="2466" w:type="dxa"/>
            <w:gridSpan w:val="3"/>
            <w:tcMar>
              <w:top w:w="57" w:type="dxa"/>
              <w:bottom w:w="57" w:type="dxa"/>
            </w:tcMar>
          </w:tcPr>
          <w:p w:rsidR="00E9366D" w:rsidRPr="00F80FB5" w:rsidRDefault="00E9366D" w:rsidP="00FB3204">
            <w:pPr>
              <w:spacing w:line="276" w:lineRule="auto"/>
              <w:rPr>
                <w:rFonts w:asciiTheme="majorHAnsi" w:hAnsiTheme="majorHAnsi" w:cs="Times New Roman"/>
                <w:sz w:val="16"/>
                <w:szCs w:val="16"/>
              </w:rPr>
            </w:pPr>
          </w:p>
        </w:tc>
      </w:tr>
      <w:tr w:rsidR="00D435D4" w:rsidRPr="00F80FB5" w:rsidTr="00C37C1C">
        <w:tc>
          <w:tcPr>
            <w:tcW w:w="627" w:type="dxa"/>
            <w:tcMar>
              <w:top w:w="57" w:type="dxa"/>
              <w:bottom w:w="57" w:type="dxa"/>
            </w:tcMar>
          </w:tcPr>
          <w:p w:rsidR="00120B7B" w:rsidRDefault="00120B7B" w:rsidP="00FB3204">
            <w:pPr>
              <w:spacing w:line="276" w:lineRule="auto"/>
              <w:rPr>
                <w:rFonts w:asciiTheme="majorHAnsi" w:hAnsiTheme="majorHAnsi" w:cs="Times New Roman"/>
                <w:sz w:val="16"/>
                <w:szCs w:val="16"/>
              </w:rPr>
            </w:pPr>
          </w:p>
          <w:p w:rsidR="00D435D4" w:rsidRDefault="00120B7B" w:rsidP="00FB3204">
            <w:pPr>
              <w:spacing w:line="276" w:lineRule="auto"/>
              <w:rPr>
                <w:rFonts w:asciiTheme="majorHAnsi" w:hAnsiTheme="majorHAnsi" w:cs="Times New Roman"/>
                <w:sz w:val="16"/>
                <w:szCs w:val="16"/>
              </w:rPr>
            </w:pPr>
            <w:r>
              <w:rPr>
                <w:rFonts w:asciiTheme="majorHAnsi" w:hAnsiTheme="majorHAnsi" w:cs="Times New Roman"/>
                <w:sz w:val="16"/>
                <w:szCs w:val="16"/>
              </w:rPr>
              <w:t>10</w:t>
            </w:r>
          </w:p>
        </w:tc>
        <w:tc>
          <w:tcPr>
            <w:tcW w:w="5889" w:type="dxa"/>
            <w:tcMar>
              <w:top w:w="57" w:type="dxa"/>
              <w:bottom w:w="57" w:type="dxa"/>
            </w:tcMar>
          </w:tcPr>
          <w:p w:rsidR="00971178" w:rsidRPr="00971178" w:rsidRDefault="00971178" w:rsidP="00971178">
            <w:pPr>
              <w:spacing w:line="276" w:lineRule="auto"/>
              <w:jc w:val="both"/>
              <w:rPr>
                <w:rFonts w:ascii="Arial" w:hAnsi="Arial" w:cs="Arial"/>
                <w:bCs/>
                <w:lang w:eastAsia="x-none"/>
              </w:rPr>
            </w:pPr>
            <w:proofErr w:type="gramStart"/>
            <w:r w:rsidRPr="00971178">
              <w:rPr>
                <w:rFonts w:ascii="Arial" w:hAnsi="Arial" w:cs="Arial"/>
                <w:b/>
                <w:bCs/>
                <w:lang w:eastAsia="x-none"/>
              </w:rPr>
              <w:t>Generally speaking, the</w:t>
            </w:r>
            <w:proofErr w:type="gramEnd"/>
            <w:r w:rsidRPr="00971178">
              <w:rPr>
                <w:rFonts w:ascii="Arial" w:hAnsi="Arial" w:cs="Arial"/>
                <w:b/>
                <w:bCs/>
                <w:lang w:eastAsia="x-none"/>
              </w:rPr>
              <w:t xml:space="preserve"> HJPC should be more transparent about the financial disclosure process: </w:t>
            </w:r>
            <w:r w:rsidRPr="00971178">
              <w:rPr>
                <w:rFonts w:ascii="Arial" w:hAnsi="Arial" w:cs="Arial"/>
                <w:bCs/>
                <w:lang w:eastAsia="x-none"/>
              </w:rPr>
              <w:t xml:space="preserve">First, the template of the disclosure form should be available to the public, so that interested parties are aware of what they can expect to find in a financial disclosure, and formulate freedom of access to information requests accordingly. All internal regulations regarding the financial disclosures </w:t>
            </w:r>
            <w:proofErr w:type="gramStart"/>
            <w:r w:rsidRPr="00971178">
              <w:rPr>
                <w:rFonts w:ascii="Arial" w:hAnsi="Arial" w:cs="Arial"/>
                <w:bCs/>
                <w:lang w:eastAsia="x-none"/>
              </w:rPr>
              <w:t>should be written</w:t>
            </w:r>
            <w:proofErr w:type="gramEnd"/>
            <w:r w:rsidRPr="00971178">
              <w:rPr>
                <w:rFonts w:ascii="Arial" w:hAnsi="Arial" w:cs="Arial"/>
                <w:bCs/>
                <w:lang w:eastAsia="x-none"/>
              </w:rPr>
              <w:t xml:space="preserve"> into a Book of rules, which should be publicly available. Finally, the HJPC should be more accountable on how the financial disclosures are processed and monitored. It should publish every year, for example in its activity report, the results achieved in that regard (compliance rates, number of disclosures monitored, outcomes of the monitoring).</w:t>
            </w:r>
          </w:p>
          <w:p w:rsidR="00FB3204" w:rsidRPr="00043DE2" w:rsidRDefault="00FB3204" w:rsidP="00FB3204">
            <w:pPr>
              <w:spacing w:line="276" w:lineRule="auto"/>
              <w:jc w:val="both"/>
              <w:rPr>
                <w:rFonts w:ascii="Arial" w:hAnsi="Arial" w:cs="Arial"/>
                <w:bCs/>
                <w:lang w:eastAsia="x-none"/>
              </w:rPr>
            </w:pPr>
          </w:p>
        </w:tc>
        <w:tc>
          <w:tcPr>
            <w:tcW w:w="5783" w:type="dxa"/>
            <w:tcMar>
              <w:top w:w="57" w:type="dxa"/>
              <w:bottom w:w="57" w:type="dxa"/>
            </w:tcMar>
          </w:tcPr>
          <w:p w:rsidR="00E9366D" w:rsidRPr="004B6B67" w:rsidRDefault="004B6B67" w:rsidP="00880498">
            <w:pPr>
              <w:spacing w:line="276" w:lineRule="auto"/>
              <w:jc w:val="both"/>
              <w:rPr>
                <w:rFonts w:ascii="Arial" w:hAnsi="Arial" w:cs="Arial"/>
                <w:bCs/>
                <w:lang w:val="hr-HR" w:eastAsia="x-none"/>
              </w:rPr>
            </w:pPr>
            <w:r w:rsidRPr="004B6B67">
              <w:rPr>
                <w:rFonts w:ascii="Arial" w:hAnsi="Arial" w:cs="Arial"/>
                <w:b/>
                <w:bCs/>
                <w:lang w:val="hr-HR" w:eastAsia="x-none"/>
              </w:rPr>
              <w:t xml:space="preserve">Uopšteno govoreći, VSTV bi trebao da bude transparentniji u pogledu procesa objavljivanja finansijskih podataka. </w:t>
            </w:r>
            <w:r w:rsidRPr="004B6B67">
              <w:rPr>
                <w:rFonts w:ascii="Arial" w:hAnsi="Arial" w:cs="Arial"/>
                <w:bCs/>
                <w:lang w:val="hr-HR" w:eastAsia="x-none"/>
              </w:rPr>
              <w:t xml:space="preserve">Prvo, formular za podnošenje izvještaja bi trebao biti dostupan javnosti, tako da zainteresovane strane budu upoznate sa onim što mogu očekivati iz tih finansijskih izvještaja i da u skladu s tim formulišu zahtjev za pristup informacijama. Sva interna pravila koja se odnose na lične finansijske izvještaje trebaju biti regulisana Pravilnikom, koji bi trebao biti javno dostupan. Konačno, VSTV bi trebao biti odgovorniji kada je riječ o obradi i praćenju ličnih finansijskih izvještaja. Svake godine, na primjer, u izvještaju o radu je potrebno objaviti rezultate postignute u tom pogledu (stopa ispunjavanja obaveze podnošenja </w:t>
            </w:r>
            <w:r w:rsidRPr="004B6B67">
              <w:rPr>
                <w:rFonts w:ascii="Arial" w:hAnsi="Arial" w:cs="Arial"/>
                <w:bCs/>
                <w:lang w:val="hr-HR" w:eastAsia="x-none"/>
              </w:rPr>
              <w:lastRenderedPageBreak/>
              <w:t xml:space="preserve">izvještaja, broj izvještaja koji su bili predmet praćenja, ishod praćenja). </w:t>
            </w:r>
          </w:p>
        </w:tc>
        <w:tc>
          <w:tcPr>
            <w:tcW w:w="2466" w:type="dxa"/>
            <w:gridSpan w:val="3"/>
            <w:tcMar>
              <w:top w:w="57" w:type="dxa"/>
              <w:bottom w:w="57" w:type="dxa"/>
            </w:tcMar>
          </w:tcPr>
          <w:p w:rsidR="00D435D4" w:rsidRPr="00F80FB5" w:rsidRDefault="00D435D4" w:rsidP="00FB3204">
            <w:pPr>
              <w:spacing w:line="276" w:lineRule="auto"/>
              <w:rPr>
                <w:rFonts w:asciiTheme="majorHAnsi" w:hAnsiTheme="majorHAnsi"/>
                <w:sz w:val="16"/>
                <w:szCs w:val="16"/>
                <w:lang w:val="en-US" w:eastAsia="x-none"/>
              </w:rPr>
            </w:pPr>
          </w:p>
        </w:tc>
      </w:tr>
    </w:tbl>
    <w:p w:rsidR="009D1136" w:rsidRPr="00F80FB5" w:rsidRDefault="009D1136" w:rsidP="008354CD">
      <w:pPr>
        <w:spacing w:line="276" w:lineRule="auto"/>
        <w:rPr>
          <w:rFonts w:asciiTheme="majorHAnsi" w:hAnsiTheme="majorHAnsi"/>
        </w:rPr>
      </w:pPr>
    </w:p>
    <w:sectPr w:rsidR="009D1136" w:rsidRPr="00F80FB5" w:rsidSect="0015165F">
      <w:pgSz w:w="16817" w:h="11901" w:orient="landscape"/>
      <w:pgMar w:top="1134" w:right="1134" w:bottom="1134" w:left="113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70D8" w:rsidRDefault="003970D8" w:rsidP="000843D1">
      <w:r>
        <w:separator/>
      </w:r>
    </w:p>
  </w:endnote>
  <w:endnote w:type="continuationSeparator" w:id="0">
    <w:p w:rsidR="003970D8" w:rsidRDefault="003970D8" w:rsidP="00084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70D8" w:rsidRDefault="003970D8" w:rsidP="000843D1">
      <w:r>
        <w:separator/>
      </w:r>
    </w:p>
  </w:footnote>
  <w:footnote w:type="continuationSeparator" w:id="0">
    <w:p w:rsidR="003970D8" w:rsidRDefault="003970D8" w:rsidP="000843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77D8B"/>
    <w:multiLevelType w:val="hybridMultilevel"/>
    <w:tmpl w:val="73502824"/>
    <w:lvl w:ilvl="0" w:tplc="0D3E846A">
      <w:start w:val="2"/>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1" w15:restartNumberingAfterBreak="0">
    <w:nsid w:val="04B3715F"/>
    <w:multiLevelType w:val="hybridMultilevel"/>
    <w:tmpl w:val="01C086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4F55F28"/>
    <w:multiLevelType w:val="hybridMultilevel"/>
    <w:tmpl w:val="0F1292F8"/>
    <w:lvl w:ilvl="0" w:tplc="63366FDE">
      <w:start w:val="2"/>
      <w:numFmt w:val="bullet"/>
      <w:lvlText w:val="-"/>
      <w:lvlJc w:val="left"/>
      <w:pPr>
        <w:ind w:left="720" w:hanging="360"/>
      </w:pPr>
      <w:rPr>
        <w:rFonts w:ascii="Calibri" w:eastAsia="Times New Roman" w:hAnsi="Calibri" w:cs="Times New Roman" w:hint="default"/>
        <w:sz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5802348"/>
    <w:multiLevelType w:val="hybridMultilevel"/>
    <w:tmpl w:val="AC6A0F24"/>
    <w:lvl w:ilvl="0" w:tplc="A6E09174">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AE06EA"/>
    <w:multiLevelType w:val="hybridMultilevel"/>
    <w:tmpl w:val="89AC221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33E690C"/>
    <w:multiLevelType w:val="hybridMultilevel"/>
    <w:tmpl w:val="01C086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ADF1AF2"/>
    <w:multiLevelType w:val="hybridMultilevel"/>
    <w:tmpl w:val="C0B8FE78"/>
    <w:lvl w:ilvl="0" w:tplc="A6E09174">
      <w:numFmt w:val="bullet"/>
      <w:lvlText w:val="-"/>
      <w:lvlJc w:val="left"/>
      <w:pPr>
        <w:ind w:left="360" w:hanging="360"/>
      </w:pPr>
      <w:rPr>
        <w:rFonts w:ascii="Arial" w:eastAsiaTheme="minorEastAsia" w:hAnsi="Arial" w:cs="Aria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1F36021F"/>
    <w:multiLevelType w:val="hybridMultilevel"/>
    <w:tmpl w:val="273A5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D301B0"/>
    <w:multiLevelType w:val="hybridMultilevel"/>
    <w:tmpl w:val="081C687A"/>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2E897DBD"/>
    <w:multiLevelType w:val="hybridMultilevel"/>
    <w:tmpl w:val="0E5C3FC0"/>
    <w:lvl w:ilvl="0" w:tplc="1E981E0A">
      <w:start w:val="1"/>
      <w:numFmt w:val="decimal"/>
      <w:lvlText w:val="%1."/>
      <w:lvlJc w:val="left"/>
      <w:pPr>
        <w:ind w:left="-732" w:hanging="360"/>
      </w:pPr>
      <w:rPr>
        <w:rFonts w:cs="Times New Roman"/>
        <w:b/>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4965A1"/>
    <w:multiLevelType w:val="hybridMultilevel"/>
    <w:tmpl w:val="CE9E0D50"/>
    <w:lvl w:ilvl="0" w:tplc="29DAF60A">
      <w:start w:val="1"/>
      <w:numFmt w:val="lowerLetter"/>
      <w:lvlText w:val="%1."/>
      <w:lvlJc w:val="left"/>
      <w:pPr>
        <w:ind w:left="1145" w:hanging="360"/>
      </w:pPr>
      <w:rPr>
        <w:rFonts w:hint="default"/>
        <w:b/>
        <w:color w:val="FF0000"/>
        <w:sz w:val="20"/>
      </w:rPr>
    </w:lvl>
    <w:lvl w:ilvl="1" w:tplc="04100019" w:tentative="1">
      <w:start w:val="1"/>
      <w:numFmt w:val="lowerLetter"/>
      <w:lvlText w:val="%2."/>
      <w:lvlJc w:val="left"/>
      <w:pPr>
        <w:ind w:left="1865" w:hanging="360"/>
      </w:pPr>
    </w:lvl>
    <w:lvl w:ilvl="2" w:tplc="0410001B" w:tentative="1">
      <w:start w:val="1"/>
      <w:numFmt w:val="lowerRoman"/>
      <w:lvlText w:val="%3."/>
      <w:lvlJc w:val="right"/>
      <w:pPr>
        <w:ind w:left="2585" w:hanging="180"/>
      </w:pPr>
    </w:lvl>
    <w:lvl w:ilvl="3" w:tplc="0410000F" w:tentative="1">
      <w:start w:val="1"/>
      <w:numFmt w:val="decimal"/>
      <w:lvlText w:val="%4."/>
      <w:lvlJc w:val="left"/>
      <w:pPr>
        <w:ind w:left="3305" w:hanging="360"/>
      </w:pPr>
    </w:lvl>
    <w:lvl w:ilvl="4" w:tplc="04100019" w:tentative="1">
      <w:start w:val="1"/>
      <w:numFmt w:val="lowerLetter"/>
      <w:lvlText w:val="%5."/>
      <w:lvlJc w:val="left"/>
      <w:pPr>
        <w:ind w:left="4025" w:hanging="360"/>
      </w:pPr>
    </w:lvl>
    <w:lvl w:ilvl="5" w:tplc="0410001B" w:tentative="1">
      <w:start w:val="1"/>
      <w:numFmt w:val="lowerRoman"/>
      <w:lvlText w:val="%6."/>
      <w:lvlJc w:val="right"/>
      <w:pPr>
        <w:ind w:left="4745" w:hanging="180"/>
      </w:pPr>
    </w:lvl>
    <w:lvl w:ilvl="6" w:tplc="0410000F" w:tentative="1">
      <w:start w:val="1"/>
      <w:numFmt w:val="decimal"/>
      <w:lvlText w:val="%7."/>
      <w:lvlJc w:val="left"/>
      <w:pPr>
        <w:ind w:left="5465" w:hanging="360"/>
      </w:pPr>
    </w:lvl>
    <w:lvl w:ilvl="7" w:tplc="04100019" w:tentative="1">
      <w:start w:val="1"/>
      <w:numFmt w:val="lowerLetter"/>
      <w:lvlText w:val="%8."/>
      <w:lvlJc w:val="left"/>
      <w:pPr>
        <w:ind w:left="6185" w:hanging="360"/>
      </w:pPr>
    </w:lvl>
    <w:lvl w:ilvl="8" w:tplc="0410001B" w:tentative="1">
      <w:start w:val="1"/>
      <w:numFmt w:val="lowerRoman"/>
      <w:lvlText w:val="%9."/>
      <w:lvlJc w:val="right"/>
      <w:pPr>
        <w:ind w:left="6905" w:hanging="180"/>
      </w:pPr>
    </w:lvl>
  </w:abstractNum>
  <w:abstractNum w:abstractNumId="11" w15:restartNumberingAfterBreak="0">
    <w:nsid w:val="444E325D"/>
    <w:multiLevelType w:val="hybridMultilevel"/>
    <w:tmpl w:val="AAC4BB10"/>
    <w:lvl w:ilvl="0" w:tplc="4C70F0A0">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AD0DE0"/>
    <w:multiLevelType w:val="hybridMultilevel"/>
    <w:tmpl w:val="8E02796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89C1FC8"/>
    <w:multiLevelType w:val="hybridMultilevel"/>
    <w:tmpl w:val="52749CAC"/>
    <w:lvl w:ilvl="0" w:tplc="52145116">
      <w:start w:val="1"/>
      <w:numFmt w:val="lowerLetter"/>
      <w:lvlText w:val="%1."/>
      <w:lvlJc w:val="left"/>
      <w:pPr>
        <w:ind w:left="1068" w:hanging="360"/>
      </w:pPr>
      <w:rPr>
        <w:rFonts w:cs="Times New Roman"/>
        <w:b/>
        <w:color w:val="FF0000"/>
      </w:rPr>
    </w:lvl>
    <w:lvl w:ilvl="1" w:tplc="1E981E0A">
      <w:start w:val="1"/>
      <w:numFmt w:val="decimal"/>
      <w:lvlText w:val="%2."/>
      <w:lvlJc w:val="left"/>
      <w:pPr>
        <w:ind w:left="-732" w:hanging="360"/>
      </w:pPr>
      <w:rPr>
        <w:rFonts w:cs="Times New Roman"/>
        <w:b/>
        <w:color w:val="FF0000"/>
      </w:rPr>
    </w:lvl>
    <w:lvl w:ilvl="2" w:tplc="0410001B">
      <w:start w:val="1"/>
      <w:numFmt w:val="lowerRoman"/>
      <w:lvlText w:val="%3."/>
      <w:lvlJc w:val="right"/>
      <w:pPr>
        <w:ind w:left="-12" w:hanging="180"/>
      </w:pPr>
      <w:rPr>
        <w:rFonts w:cs="Times New Roman"/>
      </w:rPr>
    </w:lvl>
    <w:lvl w:ilvl="3" w:tplc="0410000F">
      <w:start w:val="1"/>
      <w:numFmt w:val="decimal"/>
      <w:lvlText w:val="%4."/>
      <w:lvlJc w:val="left"/>
      <w:pPr>
        <w:ind w:left="708" w:hanging="360"/>
      </w:pPr>
      <w:rPr>
        <w:rFonts w:cs="Times New Roman"/>
      </w:rPr>
    </w:lvl>
    <w:lvl w:ilvl="4" w:tplc="04100019">
      <w:start w:val="1"/>
      <w:numFmt w:val="lowerLetter"/>
      <w:lvlText w:val="%5."/>
      <w:lvlJc w:val="left"/>
      <w:pPr>
        <w:ind w:left="1428" w:hanging="360"/>
      </w:pPr>
      <w:rPr>
        <w:rFonts w:cs="Times New Roman"/>
      </w:rPr>
    </w:lvl>
    <w:lvl w:ilvl="5" w:tplc="0410001B" w:tentative="1">
      <w:start w:val="1"/>
      <w:numFmt w:val="lowerRoman"/>
      <w:lvlText w:val="%6."/>
      <w:lvlJc w:val="right"/>
      <w:pPr>
        <w:ind w:left="2148" w:hanging="180"/>
      </w:pPr>
      <w:rPr>
        <w:rFonts w:cs="Times New Roman"/>
      </w:rPr>
    </w:lvl>
    <w:lvl w:ilvl="6" w:tplc="0410000F" w:tentative="1">
      <w:start w:val="1"/>
      <w:numFmt w:val="decimal"/>
      <w:lvlText w:val="%7."/>
      <w:lvlJc w:val="left"/>
      <w:pPr>
        <w:ind w:left="2868" w:hanging="360"/>
      </w:pPr>
      <w:rPr>
        <w:rFonts w:cs="Times New Roman"/>
      </w:rPr>
    </w:lvl>
    <w:lvl w:ilvl="7" w:tplc="04100019" w:tentative="1">
      <w:start w:val="1"/>
      <w:numFmt w:val="lowerLetter"/>
      <w:lvlText w:val="%8."/>
      <w:lvlJc w:val="left"/>
      <w:pPr>
        <w:ind w:left="3588" w:hanging="360"/>
      </w:pPr>
      <w:rPr>
        <w:rFonts w:cs="Times New Roman"/>
      </w:rPr>
    </w:lvl>
    <w:lvl w:ilvl="8" w:tplc="0410001B" w:tentative="1">
      <w:start w:val="1"/>
      <w:numFmt w:val="lowerRoman"/>
      <w:lvlText w:val="%9."/>
      <w:lvlJc w:val="right"/>
      <w:pPr>
        <w:ind w:left="4308" w:hanging="180"/>
      </w:pPr>
      <w:rPr>
        <w:rFonts w:cs="Times New Roman"/>
      </w:rPr>
    </w:lvl>
  </w:abstractNum>
  <w:abstractNum w:abstractNumId="14" w15:restartNumberingAfterBreak="0">
    <w:nsid w:val="5BAA6256"/>
    <w:multiLevelType w:val="hybridMultilevel"/>
    <w:tmpl w:val="8676E6F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E0539A1"/>
    <w:multiLevelType w:val="hybridMultilevel"/>
    <w:tmpl w:val="CE9E0D50"/>
    <w:lvl w:ilvl="0" w:tplc="29DAF60A">
      <w:start w:val="1"/>
      <w:numFmt w:val="lowerLetter"/>
      <w:lvlText w:val="%1."/>
      <w:lvlJc w:val="left"/>
      <w:pPr>
        <w:ind w:left="1145" w:hanging="360"/>
      </w:pPr>
      <w:rPr>
        <w:rFonts w:hint="default"/>
        <w:b/>
        <w:color w:val="FF0000"/>
        <w:sz w:val="20"/>
      </w:rPr>
    </w:lvl>
    <w:lvl w:ilvl="1" w:tplc="04100019" w:tentative="1">
      <w:start w:val="1"/>
      <w:numFmt w:val="lowerLetter"/>
      <w:lvlText w:val="%2."/>
      <w:lvlJc w:val="left"/>
      <w:pPr>
        <w:ind w:left="1865" w:hanging="360"/>
      </w:pPr>
    </w:lvl>
    <w:lvl w:ilvl="2" w:tplc="0410001B" w:tentative="1">
      <w:start w:val="1"/>
      <w:numFmt w:val="lowerRoman"/>
      <w:lvlText w:val="%3."/>
      <w:lvlJc w:val="right"/>
      <w:pPr>
        <w:ind w:left="2585" w:hanging="180"/>
      </w:pPr>
    </w:lvl>
    <w:lvl w:ilvl="3" w:tplc="0410000F" w:tentative="1">
      <w:start w:val="1"/>
      <w:numFmt w:val="decimal"/>
      <w:lvlText w:val="%4."/>
      <w:lvlJc w:val="left"/>
      <w:pPr>
        <w:ind w:left="3305" w:hanging="360"/>
      </w:pPr>
    </w:lvl>
    <w:lvl w:ilvl="4" w:tplc="04100019" w:tentative="1">
      <w:start w:val="1"/>
      <w:numFmt w:val="lowerLetter"/>
      <w:lvlText w:val="%5."/>
      <w:lvlJc w:val="left"/>
      <w:pPr>
        <w:ind w:left="4025" w:hanging="360"/>
      </w:pPr>
    </w:lvl>
    <w:lvl w:ilvl="5" w:tplc="0410001B" w:tentative="1">
      <w:start w:val="1"/>
      <w:numFmt w:val="lowerRoman"/>
      <w:lvlText w:val="%6."/>
      <w:lvlJc w:val="right"/>
      <w:pPr>
        <w:ind w:left="4745" w:hanging="180"/>
      </w:pPr>
    </w:lvl>
    <w:lvl w:ilvl="6" w:tplc="0410000F" w:tentative="1">
      <w:start w:val="1"/>
      <w:numFmt w:val="decimal"/>
      <w:lvlText w:val="%7."/>
      <w:lvlJc w:val="left"/>
      <w:pPr>
        <w:ind w:left="5465" w:hanging="360"/>
      </w:pPr>
    </w:lvl>
    <w:lvl w:ilvl="7" w:tplc="04100019" w:tentative="1">
      <w:start w:val="1"/>
      <w:numFmt w:val="lowerLetter"/>
      <w:lvlText w:val="%8."/>
      <w:lvlJc w:val="left"/>
      <w:pPr>
        <w:ind w:left="6185" w:hanging="360"/>
      </w:pPr>
    </w:lvl>
    <w:lvl w:ilvl="8" w:tplc="0410001B" w:tentative="1">
      <w:start w:val="1"/>
      <w:numFmt w:val="lowerRoman"/>
      <w:lvlText w:val="%9."/>
      <w:lvlJc w:val="right"/>
      <w:pPr>
        <w:ind w:left="6905" w:hanging="180"/>
      </w:pPr>
    </w:lvl>
  </w:abstractNum>
  <w:abstractNum w:abstractNumId="16" w15:restartNumberingAfterBreak="0">
    <w:nsid w:val="60513DF4"/>
    <w:multiLevelType w:val="hybridMultilevel"/>
    <w:tmpl w:val="39DE7720"/>
    <w:lvl w:ilvl="0" w:tplc="B2E0DF2C">
      <w:start w:val="1"/>
      <w:numFmt w:val="lowerLetter"/>
      <w:lvlText w:val="%1)"/>
      <w:lvlJc w:val="left"/>
      <w:pPr>
        <w:ind w:left="420" w:hanging="360"/>
      </w:pPr>
      <w:rPr>
        <w:rFonts w:hint="default"/>
      </w:rPr>
    </w:lvl>
    <w:lvl w:ilvl="1" w:tplc="04070019" w:tentative="1">
      <w:start w:val="1"/>
      <w:numFmt w:val="lowerLetter"/>
      <w:lvlText w:val="%2."/>
      <w:lvlJc w:val="left"/>
      <w:pPr>
        <w:ind w:left="1140" w:hanging="360"/>
      </w:pPr>
    </w:lvl>
    <w:lvl w:ilvl="2" w:tplc="0407001B" w:tentative="1">
      <w:start w:val="1"/>
      <w:numFmt w:val="lowerRoman"/>
      <w:lvlText w:val="%3."/>
      <w:lvlJc w:val="right"/>
      <w:pPr>
        <w:ind w:left="1860" w:hanging="180"/>
      </w:pPr>
    </w:lvl>
    <w:lvl w:ilvl="3" w:tplc="0407000F" w:tentative="1">
      <w:start w:val="1"/>
      <w:numFmt w:val="decimal"/>
      <w:lvlText w:val="%4."/>
      <w:lvlJc w:val="left"/>
      <w:pPr>
        <w:ind w:left="2580" w:hanging="360"/>
      </w:pPr>
    </w:lvl>
    <w:lvl w:ilvl="4" w:tplc="04070019" w:tentative="1">
      <w:start w:val="1"/>
      <w:numFmt w:val="lowerLetter"/>
      <w:lvlText w:val="%5."/>
      <w:lvlJc w:val="left"/>
      <w:pPr>
        <w:ind w:left="3300" w:hanging="360"/>
      </w:pPr>
    </w:lvl>
    <w:lvl w:ilvl="5" w:tplc="0407001B" w:tentative="1">
      <w:start w:val="1"/>
      <w:numFmt w:val="lowerRoman"/>
      <w:lvlText w:val="%6."/>
      <w:lvlJc w:val="right"/>
      <w:pPr>
        <w:ind w:left="4020" w:hanging="180"/>
      </w:pPr>
    </w:lvl>
    <w:lvl w:ilvl="6" w:tplc="0407000F" w:tentative="1">
      <w:start w:val="1"/>
      <w:numFmt w:val="decimal"/>
      <w:lvlText w:val="%7."/>
      <w:lvlJc w:val="left"/>
      <w:pPr>
        <w:ind w:left="4740" w:hanging="360"/>
      </w:pPr>
    </w:lvl>
    <w:lvl w:ilvl="7" w:tplc="04070019" w:tentative="1">
      <w:start w:val="1"/>
      <w:numFmt w:val="lowerLetter"/>
      <w:lvlText w:val="%8."/>
      <w:lvlJc w:val="left"/>
      <w:pPr>
        <w:ind w:left="5460" w:hanging="360"/>
      </w:pPr>
    </w:lvl>
    <w:lvl w:ilvl="8" w:tplc="0407001B" w:tentative="1">
      <w:start w:val="1"/>
      <w:numFmt w:val="lowerRoman"/>
      <w:lvlText w:val="%9."/>
      <w:lvlJc w:val="right"/>
      <w:pPr>
        <w:ind w:left="6180" w:hanging="180"/>
      </w:pPr>
    </w:lvl>
  </w:abstractNum>
  <w:abstractNum w:abstractNumId="17" w15:restartNumberingAfterBreak="0">
    <w:nsid w:val="611102DC"/>
    <w:multiLevelType w:val="hybridMultilevel"/>
    <w:tmpl w:val="8202127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41543E2"/>
    <w:multiLevelType w:val="hybridMultilevel"/>
    <w:tmpl w:val="CE9E0D50"/>
    <w:lvl w:ilvl="0" w:tplc="29DAF60A">
      <w:start w:val="1"/>
      <w:numFmt w:val="lowerLetter"/>
      <w:lvlText w:val="%1."/>
      <w:lvlJc w:val="left"/>
      <w:pPr>
        <w:ind w:left="1145" w:hanging="360"/>
      </w:pPr>
      <w:rPr>
        <w:rFonts w:hint="default"/>
        <w:b/>
        <w:color w:val="FF0000"/>
        <w:sz w:val="20"/>
      </w:rPr>
    </w:lvl>
    <w:lvl w:ilvl="1" w:tplc="04100019" w:tentative="1">
      <w:start w:val="1"/>
      <w:numFmt w:val="lowerLetter"/>
      <w:lvlText w:val="%2."/>
      <w:lvlJc w:val="left"/>
      <w:pPr>
        <w:ind w:left="1865" w:hanging="360"/>
      </w:pPr>
    </w:lvl>
    <w:lvl w:ilvl="2" w:tplc="0410001B" w:tentative="1">
      <w:start w:val="1"/>
      <w:numFmt w:val="lowerRoman"/>
      <w:lvlText w:val="%3."/>
      <w:lvlJc w:val="right"/>
      <w:pPr>
        <w:ind w:left="2585" w:hanging="180"/>
      </w:pPr>
    </w:lvl>
    <w:lvl w:ilvl="3" w:tplc="0410000F" w:tentative="1">
      <w:start w:val="1"/>
      <w:numFmt w:val="decimal"/>
      <w:lvlText w:val="%4."/>
      <w:lvlJc w:val="left"/>
      <w:pPr>
        <w:ind w:left="3305" w:hanging="360"/>
      </w:pPr>
    </w:lvl>
    <w:lvl w:ilvl="4" w:tplc="04100019" w:tentative="1">
      <w:start w:val="1"/>
      <w:numFmt w:val="lowerLetter"/>
      <w:lvlText w:val="%5."/>
      <w:lvlJc w:val="left"/>
      <w:pPr>
        <w:ind w:left="4025" w:hanging="360"/>
      </w:pPr>
    </w:lvl>
    <w:lvl w:ilvl="5" w:tplc="0410001B" w:tentative="1">
      <w:start w:val="1"/>
      <w:numFmt w:val="lowerRoman"/>
      <w:lvlText w:val="%6."/>
      <w:lvlJc w:val="right"/>
      <w:pPr>
        <w:ind w:left="4745" w:hanging="180"/>
      </w:pPr>
    </w:lvl>
    <w:lvl w:ilvl="6" w:tplc="0410000F" w:tentative="1">
      <w:start w:val="1"/>
      <w:numFmt w:val="decimal"/>
      <w:lvlText w:val="%7."/>
      <w:lvlJc w:val="left"/>
      <w:pPr>
        <w:ind w:left="5465" w:hanging="360"/>
      </w:pPr>
    </w:lvl>
    <w:lvl w:ilvl="7" w:tplc="04100019" w:tentative="1">
      <w:start w:val="1"/>
      <w:numFmt w:val="lowerLetter"/>
      <w:lvlText w:val="%8."/>
      <w:lvlJc w:val="left"/>
      <w:pPr>
        <w:ind w:left="6185" w:hanging="360"/>
      </w:pPr>
    </w:lvl>
    <w:lvl w:ilvl="8" w:tplc="0410001B" w:tentative="1">
      <w:start w:val="1"/>
      <w:numFmt w:val="lowerRoman"/>
      <w:lvlText w:val="%9."/>
      <w:lvlJc w:val="right"/>
      <w:pPr>
        <w:ind w:left="6905" w:hanging="180"/>
      </w:pPr>
    </w:lvl>
  </w:abstractNum>
  <w:abstractNum w:abstractNumId="19" w15:restartNumberingAfterBreak="0">
    <w:nsid w:val="6A4B0391"/>
    <w:multiLevelType w:val="hybridMultilevel"/>
    <w:tmpl w:val="4D74F174"/>
    <w:lvl w:ilvl="0" w:tplc="6DFCC038">
      <w:start w:val="1"/>
      <w:numFmt w:val="decimal"/>
      <w:lvlText w:val="%1."/>
      <w:lvlJc w:val="left"/>
      <w:pPr>
        <w:ind w:left="720" w:hanging="360"/>
      </w:pPr>
      <w:rPr>
        <w:rFonts w:ascii="Calibri" w:eastAsia="Calibri" w:hAnsi="Calibri" w:cs="Times New Roman"/>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E37745D"/>
    <w:multiLevelType w:val="hybridMultilevel"/>
    <w:tmpl w:val="80D86D46"/>
    <w:lvl w:ilvl="0" w:tplc="04070011">
      <w:start w:val="1"/>
      <w:numFmt w:val="decimal"/>
      <w:lvlText w:val="%1)"/>
      <w:lvlJc w:val="left"/>
      <w:pPr>
        <w:ind w:left="360" w:hanging="360"/>
      </w:pPr>
      <w:rPr>
        <w:b/>
        <w:color w:val="FF0000"/>
      </w:rPr>
    </w:lvl>
    <w:lvl w:ilvl="1" w:tplc="04070011">
      <w:start w:val="1"/>
      <w:numFmt w:val="decimal"/>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15:restartNumberingAfterBreak="0">
    <w:nsid w:val="7A4041B7"/>
    <w:multiLevelType w:val="hybridMultilevel"/>
    <w:tmpl w:val="9DA4100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2C1806"/>
    <w:multiLevelType w:val="hybridMultilevel"/>
    <w:tmpl w:val="669263D0"/>
    <w:lvl w:ilvl="0" w:tplc="6A0EF76C">
      <w:start w:val="1"/>
      <w:numFmt w:val="lowerLetter"/>
      <w:lvlText w:val="%1."/>
      <w:lvlJc w:val="left"/>
      <w:pPr>
        <w:tabs>
          <w:tab w:val="num" w:pos="1020"/>
        </w:tabs>
        <w:ind w:left="1020" w:hanging="360"/>
      </w:pPr>
      <w:rPr>
        <w:rFonts w:cs="Times New Roman" w:hint="default"/>
        <w:b/>
        <w:i w:val="0"/>
        <w:color w:val="FF0000"/>
      </w:rPr>
    </w:lvl>
    <w:lvl w:ilvl="1" w:tplc="B9E05A56">
      <w:start w:val="1"/>
      <w:numFmt w:val="lowerLetter"/>
      <w:lvlText w:val="%2."/>
      <w:lvlJc w:val="left"/>
      <w:pPr>
        <w:tabs>
          <w:tab w:val="num" w:pos="660"/>
        </w:tabs>
        <w:ind w:left="660" w:hanging="360"/>
      </w:pPr>
      <w:rPr>
        <w:rFonts w:hint="default"/>
        <w:b/>
        <w:i w:val="0"/>
        <w:color w:val="4F81BD"/>
        <w:sz w:val="22"/>
        <w:szCs w:val="18"/>
      </w:rPr>
    </w:lvl>
    <w:lvl w:ilvl="2" w:tplc="6E042860">
      <w:start w:val="1"/>
      <w:numFmt w:val="bullet"/>
      <w:lvlText w:val=""/>
      <w:lvlJc w:val="left"/>
      <w:pPr>
        <w:tabs>
          <w:tab w:val="num" w:pos="660"/>
        </w:tabs>
        <w:ind w:left="660" w:hanging="360"/>
      </w:pPr>
      <w:rPr>
        <w:rFonts w:ascii="Wingdings" w:hAnsi="Wingdings" w:hint="default"/>
        <w:b/>
        <w:i w:val="0"/>
        <w:color w:val="0000FF"/>
      </w:rPr>
    </w:lvl>
    <w:lvl w:ilvl="3" w:tplc="B6A2D96E">
      <w:start w:val="1"/>
      <w:numFmt w:val="lowerLetter"/>
      <w:lvlText w:val="%4."/>
      <w:lvlJc w:val="left"/>
      <w:pPr>
        <w:tabs>
          <w:tab w:val="num" w:pos="2100"/>
        </w:tabs>
        <w:ind w:left="2100" w:hanging="360"/>
      </w:pPr>
      <w:rPr>
        <w:rFonts w:hint="default"/>
        <w:b/>
        <w:i w:val="0"/>
        <w:color w:val="FF0000"/>
        <w:sz w:val="20"/>
      </w:rPr>
    </w:lvl>
    <w:lvl w:ilvl="4" w:tplc="A23EA52C">
      <w:start w:val="1"/>
      <w:numFmt w:val="lowerLetter"/>
      <w:lvlText w:val="%5."/>
      <w:lvlJc w:val="left"/>
      <w:pPr>
        <w:tabs>
          <w:tab w:val="num" w:pos="2820"/>
        </w:tabs>
        <w:ind w:left="2820" w:hanging="360"/>
      </w:pPr>
      <w:rPr>
        <w:rFonts w:cs="Times New Roman"/>
        <w:b/>
        <w:color w:val="FF0000"/>
      </w:rPr>
    </w:lvl>
    <w:lvl w:ilvl="5" w:tplc="0410001B" w:tentative="1">
      <w:start w:val="1"/>
      <w:numFmt w:val="lowerRoman"/>
      <w:lvlText w:val="%6."/>
      <w:lvlJc w:val="right"/>
      <w:pPr>
        <w:tabs>
          <w:tab w:val="num" w:pos="3540"/>
        </w:tabs>
        <w:ind w:left="3540" w:hanging="180"/>
      </w:pPr>
      <w:rPr>
        <w:rFonts w:cs="Times New Roman"/>
      </w:rPr>
    </w:lvl>
    <w:lvl w:ilvl="6" w:tplc="0410000F" w:tentative="1">
      <w:start w:val="1"/>
      <w:numFmt w:val="decimal"/>
      <w:lvlText w:val="%7."/>
      <w:lvlJc w:val="left"/>
      <w:pPr>
        <w:tabs>
          <w:tab w:val="num" w:pos="4260"/>
        </w:tabs>
        <w:ind w:left="4260" w:hanging="360"/>
      </w:pPr>
      <w:rPr>
        <w:rFonts w:cs="Times New Roman"/>
      </w:rPr>
    </w:lvl>
    <w:lvl w:ilvl="7" w:tplc="04100019" w:tentative="1">
      <w:start w:val="1"/>
      <w:numFmt w:val="lowerLetter"/>
      <w:lvlText w:val="%8."/>
      <w:lvlJc w:val="left"/>
      <w:pPr>
        <w:tabs>
          <w:tab w:val="num" w:pos="4980"/>
        </w:tabs>
        <w:ind w:left="4980" w:hanging="360"/>
      </w:pPr>
      <w:rPr>
        <w:rFonts w:cs="Times New Roman"/>
      </w:rPr>
    </w:lvl>
    <w:lvl w:ilvl="8" w:tplc="0410001B" w:tentative="1">
      <w:start w:val="1"/>
      <w:numFmt w:val="lowerRoman"/>
      <w:lvlText w:val="%9."/>
      <w:lvlJc w:val="right"/>
      <w:pPr>
        <w:tabs>
          <w:tab w:val="num" w:pos="5700"/>
        </w:tabs>
        <w:ind w:left="5700" w:hanging="180"/>
      </w:pPr>
      <w:rPr>
        <w:rFonts w:cs="Times New Roman"/>
      </w:rPr>
    </w:lvl>
  </w:abstractNum>
  <w:num w:numId="1">
    <w:abstractNumId w:val="2"/>
  </w:num>
  <w:num w:numId="2">
    <w:abstractNumId w:val="14"/>
  </w:num>
  <w:num w:numId="3">
    <w:abstractNumId w:val="19"/>
  </w:num>
  <w:num w:numId="4">
    <w:abstractNumId w:val="5"/>
  </w:num>
  <w:num w:numId="5">
    <w:abstractNumId w:val="1"/>
  </w:num>
  <w:num w:numId="6">
    <w:abstractNumId w:val="4"/>
  </w:num>
  <w:num w:numId="7">
    <w:abstractNumId w:val="7"/>
  </w:num>
  <w:num w:numId="8">
    <w:abstractNumId w:val="17"/>
  </w:num>
  <w:num w:numId="9">
    <w:abstractNumId w:val="12"/>
  </w:num>
  <w:num w:numId="10">
    <w:abstractNumId w:val="21"/>
  </w:num>
  <w:num w:numId="11">
    <w:abstractNumId w:val="6"/>
  </w:num>
  <w:num w:numId="12">
    <w:abstractNumId w:val="3"/>
  </w:num>
  <w:num w:numId="13">
    <w:abstractNumId w:val="11"/>
  </w:num>
  <w:num w:numId="14">
    <w:abstractNumId w:val="8"/>
  </w:num>
  <w:num w:numId="15">
    <w:abstractNumId w:val="20"/>
  </w:num>
  <w:num w:numId="16">
    <w:abstractNumId w:val="16"/>
  </w:num>
  <w:num w:numId="17">
    <w:abstractNumId w:val="13"/>
  </w:num>
  <w:num w:numId="18">
    <w:abstractNumId w:val="18"/>
  </w:num>
  <w:num w:numId="19">
    <w:abstractNumId w:val="15"/>
  </w:num>
  <w:num w:numId="20">
    <w:abstractNumId w:val="10"/>
  </w:num>
  <w:num w:numId="21">
    <w:abstractNumId w:val="9"/>
  </w:num>
  <w:num w:numId="22">
    <w:abstractNumId w:val="2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136"/>
    <w:rsid w:val="00000513"/>
    <w:rsid w:val="00000C23"/>
    <w:rsid w:val="00001A97"/>
    <w:rsid w:val="000067E0"/>
    <w:rsid w:val="00006F2D"/>
    <w:rsid w:val="000124C3"/>
    <w:rsid w:val="00017F56"/>
    <w:rsid w:val="00037238"/>
    <w:rsid w:val="0004221D"/>
    <w:rsid w:val="00043DE2"/>
    <w:rsid w:val="00044B5C"/>
    <w:rsid w:val="0004600C"/>
    <w:rsid w:val="0005359F"/>
    <w:rsid w:val="00053DAC"/>
    <w:rsid w:val="00053E4B"/>
    <w:rsid w:val="00055A53"/>
    <w:rsid w:val="00057389"/>
    <w:rsid w:val="00057A99"/>
    <w:rsid w:val="00057EBF"/>
    <w:rsid w:val="0006136D"/>
    <w:rsid w:val="00077027"/>
    <w:rsid w:val="000843D1"/>
    <w:rsid w:val="00090617"/>
    <w:rsid w:val="00093385"/>
    <w:rsid w:val="00095BC3"/>
    <w:rsid w:val="000B2832"/>
    <w:rsid w:val="000B379F"/>
    <w:rsid w:val="000B5B49"/>
    <w:rsid w:val="000D1E61"/>
    <w:rsid w:val="000D3D16"/>
    <w:rsid w:val="000D547D"/>
    <w:rsid w:val="000D594B"/>
    <w:rsid w:val="000E79DF"/>
    <w:rsid w:val="000F213F"/>
    <w:rsid w:val="000F44B8"/>
    <w:rsid w:val="00111AC2"/>
    <w:rsid w:val="0011671A"/>
    <w:rsid w:val="00117364"/>
    <w:rsid w:val="00120B7B"/>
    <w:rsid w:val="0012255F"/>
    <w:rsid w:val="001245D8"/>
    <w:rsid w:val="00124741"/>
    <w:rsid w:val="001268E0"/>
    <w:rsid w:val="00130047"/>
    <w:rsid w:val="00140FA9"/>
    <w:rsid w:val="00141490"/>
    <w:rsid w:val="00146B1B"/>
    <w:rsid w:val="00147108"/>
    <w:rsid w:val="0015165F"/>
    <w:rsid w:val="001518CD"/>
    <w:rsid w:val="00151F4D"/>
    <w:rsid w:val="00152626"/>
    <w:rsid w:val="00160FA6"/>
    <w:rsid w:val="0016196A"/>
    <w:rsid w:val="001659C6"/>
    <w:rsid w:val="001750FD"/>
    <w:rsid w:val="00181DC0"/>
    <w:rsid w:val="00182C1B"/>
    <w:rsid w:val="001928BC"/>
    <w:rsid w:val="00194613"/>
    <w:rsid w:val="001A27D5"/>
    <w:rsid w:val="001A53E2"/>
    <w:rsid w:val="001B0DB7"/>
    <w:rsid w:val="001B21AF"/>
    <w:rsid w:val="001B2251"/>
    <w:rsid w:val="001B2365"/>
    <w:rsid w:val="001B2679"/>
    <w:rsid w:val="001B4CC7"/>
    <w:rsid w:val="001B517F"/>
    <w:rsid w:val="001B574D"/>
    <w:rsid w:val="001B63B0"/>
    <w:rsid w:val="001B76EC"/>
    <w:rsid w:val="001C2748"/>
    <w:rsid w:val="001D08F2"/>
    <w:rsid w:val="001D3F2C"/>
    <w:rsid w:val="001D61BA"/>
    <w:rsid w:val="001E4D98"/>
    <w:rsid w:val="001E6B6A"/>
    <w:rsid w:val="001E6D38"/>
    <w:rsid w:val="001F5A7C"/>
    <w:rsid w:val="001F76BF"/>
    <w:rsid w:val="0020407E"/>
    <w:rsid w:val="00210E8F"/>
    <w:rsid w:val="002124CA"/>
    <w:rsid w:val="00212599"/>
    <w:rsid w:val="00215AA9"/>
    <w:rsid w:val="00220E60"/>
    <w:rsid w:val="00221480"/>
    <w:rsid w:val="002217E3"/>
    <w:rsid w:val="00224442"/>
    <w:rsid w:val="00224E36"/>
    <w:rsid w:val="002301FF"/>
    <w:rsid w:val="00233B52"/>
    <w:rsid w:val="0023740A"/>
    <w:rsid w:val="0024680C"/>
    <w:rsid w:val="002611A8"/>
    <w:rsid w:val="00275225"/>
    <w:rsid w:val="00281573"/>
    <w:rsid w:val="0028228B"/>
    <w:rsid w:val="00282C70"/>
    <w:rsid w:val="002846F4"/>
    <w:rsid w:val="002963D3"/>
    <w:rsid w:val="002A252D"/>
    <w:rsid w:val="002B07C2"/>
    <w:rsid w:val="002C248A"/>
    <w:rsid w:val="002D06A2"/>
    <w:rsid w:val="002D25D4"/>
    <w:rsid w:val="002E06C0"/>
    <w:rsid w:val="002E2824"/>
    <w:rsid w:val="002E3D3E"/>
    <w:rsid w:val="002E430B"/>
    <w:rsid w:val="002E4E8D"/>
    <w:rsid w:val="002F4519"/>
    <w:rsid w:val="002F67E2"/>
    <w:rsid w:val="002F691F"/>
    <w:rsid w:val="003030FB"/>
    <w:rsid w:val="003117EE"/>
    <w:rsid w:val="00316761"/>
    <w:rsid w:val="00325A20"/>
    <w:rsid w:val="0032644A"/>
    <w:rsid w:val="00333478"/>
    <w:rsid w:val="00341702"/>
    <w:rsid w:val="00342975"/>
    <w:rsid w:val="0034620F"/>
    <w:rsid w:val="00346F19"/>
    <w:rsid w:val="0035411C"/>
    <w:rsid w:val="003615EF"/>
    <w:rsid w:val="00364033"/>
    <w:rsid w:val="003657E7"/>
    <w:rsid w:val="003709A0"/>
    <w:rsid w:val="00373071"/>
    <w:rsid w:val="003738A2"/>
    <w:rsid w:val="00374B04"/>
    <w:rsid w:val="00374B88"/>
    <w:rsid w:val="00381FD4"/>
    <w:rsid w:val="00385A0F"/>
    <w:rsid w:val="00386C9A"/>
    <w:rsid w:val="003919A6"/>
    <w:rsid w:val="0039296E"/>
    <w:rsid w:val="003970D8"/>
    <w:rsid w:val="0039727C"/>
    <w:rsid w:val="00397AF8"/>
    <w:rsid w:val="003A14CF"/>
    <w:rsid w:val="003A39ED"/>
    <w:rsid w:val="003A3AD1"/>
    <w:rsid w:val="003A561C"/>
    <w:rsid w:val="003A6B3B"/>
    <w:rsid w:val="003B2398"/>
    <w:rsid w:val="003B264F"/>
    <w:rsid w:val="003B2D22"/>
    <w:rsid w:val="003B31F7"/>
    <w:rsid w:val="003C1CF0"/>
    <w:rsid w:val="003C4A2A"/>
    <w:rsid w:val="003C50F4"/>
    <w:rsid w:val="003C7E5D"/>
    <w:rsid w:val="003D1389"/>
    <w:rsid w:val="003D2383"/>
    <w:rsid w:val="003D2CFC"/>
    <w:rsid w:val="003D3549"/>
    <w:rsid w:val="003D5680"/>
    <w:rsid w:val="003D59D1"/>
    <w:rsid w:val="003D6E93"/>
    <w:rsid w:val="003D7F80"/>
    <w:rsid w:val="003E6EE9"/>
    <w:rsid w:val="003F2832"/>
    <w:rsid w:val="003F7629"/>
    <w:rsid w:val="004006BA"/>
    <w:rsid w:val="00404F13"/>
    <w:rsid w:val="00405DE2"/>
    <w:rsid w:val="00413629"/>
    <w:rsid w:val="00417A68"/>
    <w:rsid w:val="0042573C"/>
    <w:rsid w:val="0042793E"/>
    <w:rsid w:val="0043543C"/>
    <w:rsid w:val="004373A5"/>
    <w:rsid w:val="004375E0"/>
    <w:rsid w:val="004400AA"/>
    <w:rsid w:val="00446A1F"/>
    <w:rsid w:val="0045215A"/>
    <w:rsid w:val="00452F8B"/>
    <w:rsid w:val="00461E7E"/>
    <w:rsid w:val="0046318E"/>
    <w:rsid w:val="00463CC7"/>
    <w:rsid w:val="00467385"/>
    <w:rsid w:val="00470842"/>
    <w:rsid w:val="00471B32"/>
    <w:rsid w:val="00473287"/>
    <w:rsid w:val="00477518"/>
    <w:rsid w:val="004800F1"/>
    <w:rsid w:val="004801EA"/>
    <w:rsid w:val="00485269"/>
    <w:rsid w:val="00486F02"/>
    <w:rsid w:val="0048780B"/>
    <w:rsid w:val="00487A47"/>
    <w:rsid w:val="004A0DC5"/>
    <w:rsid w:val="004A20A0"/>
    <w:rsid w:val="004A4076"/>
    <w:rsid w:val="004A50E6"/>
    <w:rsid w:val="004A5473"/>
    <w:rsid w:val="004A5BF4"/>
    <w:rsid w:val="004A5E3A"/>
    <w:rsid w:val="004B2DD3"/>
    <w:rsid w:val="004B6B67"/>
    <w:rsid w:val="004B765F"/>
    <w:rsid w:val="004B7E4E"/>
    <w:rsid w:val="004C04C1"/>
    <w:rsid w:val="004D0314"/>
    <w:rsid w:val="004D0501"/>
    <w:rsid w:val="004D3309"/>
    <w:rsid w:val="004D619F"/>
    <w:rsid w:val="004E5457"/>
    <w:rsid w:val="004E7BC8"/>
    <w:rsid w:val="004F2973"/>
    <w:rsid w:val="00500271"/>
    <w:rsid w:val="0050468E"/>
    <w:rsid w:val="005140CF"/>
    <w:rsid w:val="00515DC0"/>
    <w:rsid w:val="00524A06"/>
    <w:rsid w:val="005266FD"/>
    <w:rsid w:val="0053556E"/>
    <w:rsid w:val="005378B4"/>
    <w:rsid w:val="005449F1"/>
    <w:rsid w:val="00545C50"/>
    <w:rsid w:val="005502BF"/>
    <w:rsid w:val="00551811"/>
    <w:rsid w:val="00560202"/>
    <w:rsid w:val="005602D5"/>
    <w:rsid w:val="00562026"/>
    <w:rsid w:val="00562213"/>
    <w:rsid w:val="00563BE0"/>
    <w:rsid w:val="005772E9"/>
    <w:rsid w:val="00577BA5"/>
    <w:rsid w:val="0058493B"/>
    <w:rsid w:val="00585153"/>
    <w:rsid w:val="00585970"/>
    <w:rsid w:val="00587828"/>
    <w:rsid w:val="005915FD"/>
    <w:rsid w:val="00592D0D"/>
    <w:rsid w:val="00597CFA"/>
    <w:rsid w:val="005A030C"/>
    <w:rsid w:val="005A3B9F"/>
    <w:rsid w:val="005A3E97"/>
    <w:rsid w:val="005B4233"/>
    <w:rsid w:val="005B5BC4"/>
    <w:rsid w:val="005C260D"/>
    <w:rsid w:val="005C5AFA"/>
    <w:rsid w:val="005D0532"/>
    <w:rsid w:val="005D1614"/>
    <w:rsid w:val="005D2BEF"/>
    <w:rsid w:val="005E0100"/>
    <w:rsid w:val="005E2DB2"/>
    <w:rsid w:val="005F2172"/>
    <w:rsid w:val="005F21F7"/>
    <w:rsid w:val="005F35AD"/>
    <w:rsid w:val="005F3FA9"/>
    <w:rsid w:val="005F63FC"/>
    <w:rsid w:val="005F78BA"/>
    <w:rsid w:val="0060223D"/>
    <w:rsid w:val="00604F15"/>
    <w:rsid w:val="00605251"/>
    <w:rsid w:val="00607133"/>
    <w:rsid w:val="006129C6"/>
    <w:rsid w:val="00612C34"/>
    <w:rsid w:val="006144EA"/>
    <w:rsid w:val="00617817"/>
    <w:rsid w:val="0062014D"/>
    <w:rsid w:val="006203E4"/>
    <w:rsid w:val="006222C4"/>
    <w:rsid w:val="00634F6F"/>
    <w:rsid w:val="00635E0C"/>
    <w:rsid w:val="00642690"/>
    <w:rsid w:val="006517F9"/>
    <w:rsid w:val="00652869"/>
    <w:rsid w:val="00652EFE"/>
    <w:rsid w:val="00653145"/>
    <w:rsid w:val="0065338B"/>
    <w:rsid w:val="00655A32"/>
    <w:rsid w:val="0066188D"/>
    <w:rsid w:val="00665E76"/>
    <w:rsid w:val="006717DA"/>
    <w:rsid w:val="00676A7F"/>
    <w:rsid w:val="006811C5"/>
    <w:rsid w:val="00682B9E"/>
    <w:rsid w:val="006A33AD"/>
    <w:rsid w:val="006A699B"/>
    <w:rsid w:val="006A724E"/>
    <w:rsid w:val="006B2045"/>
    <w:rsid w:val="006B21AA"/>
    <w:rsid w:val="006B2565"/>
    <w:rsid w:val="006C4C4F"/>
    <w:rsid w:val="006C7953"/>
    <w:rsid w:val="006D16B2"/>
    <w:rsid w:val="006D46F7"/>
    <w:rsid w:val="006E578D"/>
    <w:rsid w:val="006F0F7E"/>
    <w:rsid w:val="00703B3A"/>
    <w:rsid w:val="00704F78"/>
    <w:rsid w:val="00707198"/>
    <w:rsid w:val="00707EF8"/>
    <w:rsid w:val="0072236D"/>
    <w:rsid w:val="00723932"/>
    <w:rsid w:val="007243C1"/>
    <w:rsid w:val="007271F6"/>
    <w:rsid w:val="007309EB"/>
    <w:rsid w:val="00731E61"/>
    <w:rsid w:val="007320B5"/>
    <w:rsid w:val="00735D00"/>
    <w:rsid w:val="0074165B"/>
    <w:rsid w:val="00745823"/>
    <w:rsid w:val="00747E9E"/>
    <w:rsid w:val="00752B51"/>
    <w:rsid w:val="00753361"/>
    <w:rsid w:val="00753F0D"/>
    <w:rsid w:val="00753FCD"/>
    <w:rsid w:val="0075780A"/>
    <w:rsid w:val="007602FA"/>
    <w:rsid w:val="0076053B"/>
    <w:rsid w:val="00762C34"/>
    <w:rsid w:val="00763433"/>
    <w:rsid w:val="00764DA1"/>
    <w:rsid w:val="00777F41"/>
    <w:rsid w:val="00796C93"/>
    <w:rsid w:val="007A7D5A"/>
    <w:rsid w:val="007B7602"/>
    <w:rsid w:val="007C027A"/>
    <w:rsid w:val="007C3ACE"/>
    <w:rsid w:val="007C4843"/>
    <w:rsid w:val="007C5402"/>
    <w:rsid w:val="007C6F64"/>
    <w:rsid w:val="007C742C"/>
    <w:rsid w:val="007C7E5B"/>
    <w:rsid w:val="007D12E4"/>
    <w:rsid w:val="007D713D"/>
    <w:rsid w:val="007F772C"/>
    <w:rsid w:val="007F79B5"/>
    <w:rsid w:val="007F79D0"/>
    <w:rsid w:val="008009E9"/>
    <w:rsid w:val="0080439B"/>
    <w:rsid w:val="008044EB"/>
    <w:rsid w:val="00804664"/>
    <w:rsid w:val="00805F92"/>
    <w:rsid w:val="008063A0"/>
    <w:rsid w:val="008115E7"/>
    <w:rsid w:val="00811790"/>
    <w:rsid w:val="00814AB5"/>
    <w:rsid w:val="00816B0D"/>
    <w:rsid w:val="008354CD"/>
    <w:rsid w:val="0083575A"/>
    <w:rsid w:val="008371F0"/>
    <w:rsid w:val="00842056"/>
    <w:rsid w:val="0084231B"/>
    <w:rsid w:val="0084265A"/>
    <w:rsid w:val="008430EF"/>
    <w:rsid w:val="008439A2"/>
    <w:rsid w:val="00843B41"/>
    <w:rsid w:val="00846093"/>
    <w:rsid w:val="008517E0"/>
    <w:rsid w:val="00853D6D"/>
    <w:rsid w:val="0085783F"/>
    <w:rsid w:val="008622D5"/>
    <w:rsid w:val="0086330F"/>
    <w:rsid w:val="008637AE"/>
    <w:rsid w:val="008677D4"/>
    <w:rsid w:val="008677E0"/>
    <w:rsid w:val="0087525C"/>
    <w:rsid w:val="00880498"/>
    <w:rsid w:val="0088420D"/>
    <w:rsid w:val="00886D58"/>
    <w:rsid w:val="00890EE9"/>
    <w:rsid w:val="0089379B"/>
    <w:rsid w:val="00896DA8"/>
    <w:rsid w:val="008A099C"/>
    <w:rsid w:val="008A2118"/>
    <w:rsid w:val="008A39E4"/>
    <w:rsid w:val="008B19A1"/>
    <w:rsid w:val="008B2F3B"/>
    <w:rsid w:val="008B3AB1"/>
    <w:rsid w:val="008B3CDE"/>
    <w:rsid w:val="008C733C"/>
    <w:rsid w:val="008D2838"/>
    <w:rsid w:val="008E5636"/>
    <w:rsid w:val="008F0241"/>
    <w:rsid w:val="008F1B41"/>
    <w:rsid w:val="00903019"/>
    <w:rsid w:val="00903746"/>
    <w:rsid w:val="00904936"/>
    <w:rsid w:val="00906A56"/>
    <w:rsid w:val="00910EAF"/>
    <w:rsid w:val="00911177"/>
    <w:rsid w:val="00912ABA"/>
    <w:rsid w:val="00914084"/>
    <w:rsid w:val="009149A4"/>
    <w:rsid w:val="009155D3"/>
    <w:rsid w:val="009163C0"/>
    <w:rsid w:val="0092132A"/>
    <w:rsid w:val="0092395B"/>
    <w:rsid w:val="009249CF"/>
    <w:rsid w:val="00930AE6"/>
    <w:rsid w:val="00932CD8"/>
    <w:rsid w:val="009408C2"/>
    <w:rsid w:val="009417F0"/>
    <w:rsid w:val="00950B2F"/>
    <w:rsid w:val="0095105B"/>
    <w:rsid w:val="00957974"/>
    <w:rsid w:val="009655F7"/>
    <w:rsid w:val="009707C0"/>
    <w:rsid w:val="0097087D"/>
    <w:rsid w:val="0097097A"/>
    <w:rsid w:val="00971178"/>
    <w:rsid w:val="00971CA7"/>
    <w:rsid w:val="00975305"/>
    <w:rsid w:val="00977BFE"/>
    <w:rsid w:val="009812E9"/>
    <w:rsid w:val="00983690"/>
    <w:rsid w:val="00983A24"/>
    <w:rsid w:val="009847BE"/>
    <w:rsid w:val="009931A9"/>
    <w:rsid w:val="00993343"/>
    <w:rsid w:val="00996033"/>
    <w:rsid w:val="009963D6"/>
    <w:rsid w:val="009A1203"/>
    <w:rsid w:val="009A7BD4"/>
    <w:rsid w:val="009B0381"/>
    <w:rsid w:val="009B55BF"/>
    <w:rsid w:val="009C0140"/>
    <w:rsid w:val="009C12EF"/>
    <w:rsid w:val="009C252B"/>
    <w:rsid w:val="009C3E35"/>
    <w:rsid w:val="009D1136"/>
    <w:rsid w:val="009D5817"/>
    <w:rsid w:val="009E454B"/>
    <w:rsid w:val="009F188A"/>
    <w:rsid w:val="009F7664"/>
    <w:rsid w:val="009F7B2A"/>
    <w:rsid w:val="00A0362D"/>
    <w:rsid w:val="00A1335E"/>
    <w:rsid w:val="00A2144C"/>
    <w:rsid w:val="00A30341"/>
    <w:rsid w:val="00A32B35"/>
    <w:rsid w:val="00A440C9"/>
    <w:rsid w:val="00A46387"/>
    <w:rsid w:val="00A51F09"/>
    <w:rsid w:val="00A523C0"/>
    <w:rsid w:val="00A52E85"/>
    <w:rsid w:val="00A5542A"/>
    <w:rsid w:val="00A57742"/>
    <w:rsid w:val="00A57E92"/>
    <w:rsid w:val="00A610F6"/>
    <w:rsid w:val="00A62094"/>
    <w:rsid w:val="00A64D7C"/>
    <w:rsid w:val="00A70141"/>
    <w:rsid w:val="00A7044F"/>
    <w:rsid w:val="00A7655C"/>
    <w:rsid w:val="00A81020"/>
    <w:rsid w:val="00A820C1"/>
    <w:rsid w:val="00A8458C"/>
    <w:rsid w:val="00A853E8"/>
    <w:rsid w:val="00A87DF2"/>
    <w:rsid w:val="00A92311"/>
    <w:rsid w:val="00A92588"/>
    <w:rsid w:val="00A928BB"/>
    <w:rsid w:val="00A94643"/>
    <w:rsid w:val="00A96AA9"/>
    <w:rsid w:val="00AA6254"/>
    <w:rsid w:val="00AB0597"/>
    <w:rsid w:val="00AB568E"/>
    <w:rsid w:val="00AC4675"/>
    <w:rsid w:val="00AC5B81"/>
    <w:rsid w:val="00AC6863"/>
    <w:rsid w:val="00AC7BE1"/>
    <w:rsid w:val="00AD03C5"/>
    <w:rsid w:val="00AD2339"/>
    <w:rsid w:val="00AD6AD7"/>
    <w:rsid w:val="00AE42BE"/>
    <w:rsid w:val="00AE7C66"/>
    <w:rsid w:val="00AF1954"/>
    <w:rsid w:val="00AF6113"/>
    <w:rsid w:val="00B01192"/>
    <w:rsid w:val="00B01A0D"/>
    <w:rsid w:val="00B04B7E"/>
    <w:rsid w:val="00B05FDB"/>
    <w:rsid w:val="00B07149"/>
    <w:rsid w:val="00B11ED0"/>
    <w:rsid w:val="00B14A7E"/>
    <w:rsid w:val="00B17EDB"/>
    <w:rsid w:val="00B211FD"/>
    <w:rsid w:val="00B24EA8"/>
    <w:rsid w:val="00B26B3F"/>
    <w:rsid w:val="00B3599D"/>
    <w:rsid w:val="00B41F53"/>
    <w:rsid w:val="00B442CB"/>
    <w:rsid w:val="00B4591A"/>
    <w:rsid w:val="00B54E1D"/>
    <w:rsid w:val="00B5652A"/>
    <w:rsid w:val="00B639FC"/>
    <w:rsid w:val="00B65E3C"/>
    <w:rsid w:val="00B724D9"/>
    <w:rsid w:val="00B74879"/>
    <w:rsid w:val="00B77208"/>
    <w:rsid w:val="00B80796"/>
    <w:rsid w:val="00B82642"/>
    <w:rsid w:val="00B8269B"/>
    <w:rsid w:val="00B83A1E"/>
    <w:rsid w:val="00B85416"/>
    <w:rsid w:val="00B87A80"/>
    <w:rsid w:val="00B9038F"/>
    <w:rsid w:val="00B906E1"/>
    <w:rsid w:val="00B92990"/>
    <w:rsid w:val="00B97C6D"/>
    <w:rsid w:val="00BA4A05"/>
    <w:rsid w:val="00BA596F"/>
    <w:rsid w:val="00BA68E2"/>
    <w:rsid w:val="00BA712E"/>
    <w:rsid w:val="00BA7E88"/>
    <w:rsid w:val="00BB094A"/>
    <w:rsid w:val="00BB0ABC"/>
    <w:rsid w:val="00BB3F15"/>
    <w:rsid w:val="00BB440D"/>
    <w:rsid w:val="00BC21AD"/>
    <w:rsid w:val="00BC759F"/>
    <w:rsid w:val="00BD2687"/>
    <w:rsid w:val="00BD3EB9"/>
    <w:rsid w:val="00BD6C92"/>
    <w:rsid w:val="00BE6939"/>
    <w:rsid w:val="00BF5304"/>
    <w:rsid w:val="00BF55A4"/>
    <w:rsid w:val="00C03096"/>
    <w:rsid w:val="00C03EA3"/>
    <w:rsid w:val="00C07A97"/>
    <w:rsid w:val="00C07E62"/>
    <w:rsid w:val="00C11772"/>
    <w:rsid w:val="00C15C72"/>
    <w:rsid w:val="00C165D9"/>
    <w:rsid w:val="00C21C9C"/>
    <w:rsid w:val="00C24FBA"/>
    <w:rsid w:val="00C260A5"/>
    <w:rsid w:val="00C357B1"/>
    <w:rsid w:val="00C37C1C"/>
    <w:rsid w:val="00C402B9"/>
    <w:rsid w:val="00C405F5"/>
    <w:rsid w:val="00C434F8"/>
    <w:rsid w:val="00C44F26"/>
    <w:rsid w:val="00C46BCB"/>
    <w:rsid w:val="00C50FD7"/>
    <w:rsid w:val="00C5208E"/>
    <w:rsid w:val="00C6280B"/>
    <w:rsid w:val="00C71D65"/>
    <w:rsid w:val="00C73C09"/>
    <w:rsid w:val="00C75809"/>
    <w:rsid w:val="00C77836"/>
    <w:rsid w:val="00C82502"/>
    <w:rsid w:val="00C8576F"/>
    <w:rsid w:val="00C8583F"/>
    <w:rsid w:val="00C9038D"/>
    <w:rsid w:val="00C91E2F"/>
    <w:rsid w:val="00C93269"/>
    <w:rsid w:val="00C9713B"/>
    <w:rsid w:val="00CA3AB7"/>
    <w:rsid w:val="00CB0ACC"/>
    <w:rsid w:val="00CC06C9"/>
    <w:rsid w:val="00CC437C"/>
    <w:rsid w:val="00CC5008"/>
    <w:rsid w:val="00CC552A"/>
    <w:rsid w:val="00CC6A72"/>
    <w:rsid w:val="00CC71CE"/>
    <w:rsid w:val="00CD0629"/>
    <w:rsid w:val="00CD2ABE"/>
    <w:rsid w:val="00CD2DAE"/>
    <w:rsid w:val="00CD4F97"/>
    <w:rsid w:val="00CE0F8D"/>
    <w:rsid w:val="00CE5F50"/>
    <w:rsid w:val="00CE63EE"/>
    <w:rsid w:val="00CE745F"/>
    <w:rsid w:val="00CF07F7"/>
    <w:rsid w:val="00CF1C2A"/>
    <w:rsid w:val="00CF20AC"/>
    <w:rsid w:val="00CF4C15"/>
    <w:rsid w:val="00CF6319"/>
    <w:rsid w:val="00D01160"/>
    <w:rsid w:val="00D065C3"/>
    <w:rsid w:val="00D06DA3"/>
    <w:rsid w:val="00D0788F"/>
    <w:rsid w:val="00D07AA6"/>
    <w:rsid w:val="00D11A2A"/>
    <w:rsid w:val="00D11FFB"/>
    <w:rsid w:val="00D1235F"/>
    <w:rsid w:val="00D216A5"/>
    <w:rsid w:val="00D21B21"/>
    <w:rsid w:val="00D26613"/>
    <w:rsid w:val="00D30918"/>
    <w:rsid w:val="00D32C18"/>
    <w:rsid w:val="00D35562"/>
    <w:rsid w:val="00D36A57"/>
    <w:rsid w:val="00D40058"/>
    <w:rsid w:val="00D41375"/>
    <w:rsid w:val="00D435D4"/>
    <w:rsid w:val="00D45A02"/>
    <w:rsid w:val="00D4750E"/>
    <w:rsid w:val="00D50972"/>
    <w:rsid w:val="00D52EB0"/>
    <w:rsid w:val="00D53675"/>
    <w:rsid w:val="00D61ED9"/>
    <w:rsid w:val="00D623B7"/>
    <w:rsid w:val="00D639DF"/>
    <w:rsid w:val="00D6542F"/>
    <w:rsid w:val="00D67135"/>
    <w:rsid w:val="00D713A4"/>
    <w:rsid w:val="00D76CD3"/>
    <w:rsid w:val="00D77CC9"/>
    <w:rsid w:val="00D8417A"/>
    <w:rsid w:val="00D84991"/>
    <w:rsid w:val="00D92BF4"/>
    <w:rsid w:val="00D9414C"/>
    <w:rsid w:val="00D94CFC"/>
    <w:rsid w:val="00D95A2D"/>
    <w:rsid w:val="00D97728"/>
    <w:rsid w:val="00DA1CDF"/>
    <w:rsid w:val="00DA26D0"/>
    <w:rsid w:val="00DA2A34"/>
    <w:rsid w:val="00DB543E"/>
    <w:rsid w:val="00DB676B"/>
    <w:rsid w:val="00DC03D7"/>
    <w:rsid w:val="00DC0529"/>
    <w:rsid w:val="00DC1EA7"/>
    <w:rsid w:val="00DC428B"/>
    <w:rsid w:val="00DC4304"/>
    <w:rsid w:val="00DC5CDB"/>
    <w:rsid w:val="00DC6C77"/>
    <w:rsid w:val="00DD1C18"/>
    <w:rsid w:val="00DD534E"/>
    <w:rsid w:val="00DD731A"/>
    <w:rsid w:val="00DE126D"/>
    <w:rsid w:val="00DE2FA1"/>
    <w:rsid w:val="00DE4172"/>
    <w:rsid w:val="00DE7965"/>
    <w:rsid w:val="00DF0AAB"/>
    <w:rsid w:val="00DF1589"/>
    <w:rsid w:val="00DF5BC6"/>
    <w:rsid w:val="00DF613E"/>
    <w:rsid w:val="00E06688"/>
    <w:rsid w:val="00E06EC6"/>
    <w:rsid w:val="00E1077F"/>
    <w:rsid w:val="00E13483"/>
    <w:rsid w:val="00E13DB8"/>
    <w:rsid w:val="00E21A32"/>
    <w:rsid w:val="00E3027C"/>
    <w:rsid w:val="00E42078"/>
    <w:rsid w:val="00E51C3A"/>
    <w:rsid w:val="00E51F58"/>
    <w:rsid w:val="00E552ED"/>
    <w:rsid w:val="00E57CF9"/>
    <w:rsid w:val="00E57E24"/>
    <w:rsid w:val="00E71BC6"/>
    <w:rsid w:val="00E72C15"/>
    <w:rsid w:val="00E75733"/>
    <w:rsid w:val="00E83542"/>
    <w:rsid w:val="00E873FC"/>
    <w:rsid w:val="00E91197"/>
    <w:rsid w:val="00E93409"/>
    <w:rsid w:val="00E9366D"/>
    <w:rsid w:val="00E968F6"/>
    <w:rsid w:val="00EA088B"/>
    <w:rsid w:val="00EA2272"/>
    <w:rsid w:val="00EA265F"/>
    <w:rsid w:val="00EA317B"/>
    <w:rsid w:val="00EB0FEF"/>
    <w:rsid w:val="00EB180D"/>
    <w:rsid w:val="00EB3592"/>
    <w:rsid w:val="00EB39FE"/>
    <w:rsid w:val="00EB6577"/>
    <w:rsid w:val="00EB6907"/>
    <w:rsid w:val="00EB7260"/>
    <w:rsid w:val="00EC2D25"/>
    <w:rsid w:val="00EC724F"/>
    <w:rsid w:val="00ED0797"/>
    <w:rsid w:val="00ED084F"/>
    <w:rsid w:val="00ED1966"/>
    <w:rsid w:val="00ED2CD7"/>
    <w:rsid w:val="00ED303F"/>
    <w:rsid w:val="00ED4BBC"/>
    <w:rsid w:val="00ED51A8"/>
    <w:rsid w:val="00EF3BB5"/>
    <w:rsid w:val="00EF44A6"/>
    <w:rsid w:val="00EF552B"/>
    <w:rsid w:val="00EF7661"/>
    <w:rsid w:val="00F01346"/>
    <w:rsid w:val="00F020DD"/>
    <w:rsid w:val="00F072EA"/>
    <w:rsid w:val="00F112E5"/>
    <w:rsid w:val="00F22C1F"/>
    <w:rsid w:val="00F23523"/>
    <w:rsid w:val="00F261AB"/>
    <w:rsid w:val="00F263A7"/>
    <w:rsid w:val="00F27808"/>
    <w:rsid w:val="00F32959"/>
    <w:rsid w:val="00F3452C"/>
    <w:rsid w:val="00F427E8"/>
    <w:rsid w:val="00F431BF"/>
    <w:rsid w:val="00F447D6"/>
    <w:rsid w:val="00F46305"/>
    <w:rsid w:val="00F4730A"/>
    <w:rsid w:val="00F507CD"/>
    <w:rsid w:val="00F554F5"/>
    <w:rsid w:val="00F57A29"/>
    <w:rsid w:val="00F62892"/>
    <w:rsid w:val="00F64B2A"/>
    <w:rsid w:val="00F64D8F"/>
    <w:rsid w:val="00F66C43"/>
    <w:rsid w:val="00F67BD0"/>
    <w:rsid w:val="00F73F62"/>
    <w:rsid w:val="00F74398"/>
    <w:rsid w:val="00F80FB5"/>
    <w:rsid w:val="00F82CDC"/>
    <w:rsid w:val="00F87651"/>
    <w:rsid w:val="00F90BB2"/>
    <w:rsid w:val="00F9353B"/>
    <w:rsid w:val="00F93637"/>
    <w:rsid w:val="00F94EE6"/>
    <w:rsid w:val="00F962B7"/>
    <w:rsid w:val="00FA5432"/>
    <w:rsid w:val="00FA7344"/>
    <w:rsid w:val="00FB015C"/>
    <w:rsid w:val="00FB042D"/>
    <w:rsid w:val="00FB1CCF"/>
    <w:rsid w:val="00FB21F5"/>
    <w:rsid w:val="00FB3204"/>
    <w:rsid w:val="00FB3A34"/>
    <w:rsid w:val="00FB7745"/>
    <w:rsid w:val="00FB7D75"/>
    <w:rsid w:val="00FC0930"/>
    <w:rsid w:val="00FC74B2"/>
    <w:rsid w:val="00FD31B9"/>
    <w:rsid w:val="00FD5BC9"/>
    <w:rsid w:val="00FD6855"/>
    <w:rsid w:val="00FD709F"/>
    <w:rsid w:val="00FD77F3"/>
    <w:rsid w:val="00FE76A9"/>
    <w:rsid w:val="00FF1F59"/>
    <w:rsid w:val="00FF35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5FB79E"/>
  <w14:defaultImageDpi w14:val="330"/>
  <w15:docId w15:val="{74FA75DE-E905-40CA-9079-467C2C1DB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6">
    <w:name w:val="heading 6"/>
    <w:basedOn w:val="Normal"/>
    <w:next w:val="Normal"/>
    <w:link w:val="Heading6Char"/>
    <w:uiPriority w:val="99"/>
    <w:qFormat/>
    <w:rsid w:val="00CD2DAE"/>
    <w:pPr>
      <w:keepNext/>
      <w:keepLines/>
      <w:spacing w:before="200" w:line="276" w:lineRule="auto"/>
      <w:outlineLvl w:val="5"/>
    </w:pPr>
    <w:rPr>
      <w:rFonts w:ascii="Cambria" w:eastAsia="Calibri" w:hAnsi="Cambria" w:cs="Times New Roman"/>
      <w:i/>
      <w:iCs/>
      <w:color w:val="243F60"/>
      <w:sz w:val="20"/>
      <w:szCs w:val="20"/>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11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9"/>
    <w:rsid w:val="00CD2DAE"/>
    <w:rPr>
      <w:rFonts w:ascii="Cambria" w:eastAsia="Calibri" w:hAnsi="Cambria" w:cs="Times New Roman"/>
      <w:i/>
      <w:iCs/>
      <w:color w:val="243F60"/>
      <w:sz w:val="20"/>
      <w:szCs w:val="20"/>
      <w:lang w:val="x-none" w:eastAsia="x-none"/>
    </w:rPr>
  </w:style>
  <w:style w:type="character" w:styleId="FootnoteReference">
    <w:name w:val="footnote reference"/>
    <w:uiPriority w:val="99"/>
    <w:rsid w:val="000843D1"/>
    <w:rPr>
      <w:rFonts w:cs="Times New Roman"/>
      <w:vertAlign w:val="superscript"/>
    </w:rPr>
  </w:style>
  <w:style w:type="paragraph" w:styleId="FootnoteText">
    <w:name w:val="footnote text"/>
    <w:basedOn w:val="Normal"/>
    <w:link w:val="FootnoteTextChar"/>
    <w:uiPriority w:val="99"/>
    <w:rsid w:val="000843D1"/>
    <w:rPr>
      <w:rFonts w:ascii="Times New Roman" w:eastAsia="Calibri" w:hAnsi="Times New Roman" w:cs="Times New Roman"/>
      <w:sz w:val="20"/>
      <w:szCs w:val="20"/>
      <w:lang w:val="en-US" w:eastAsia="x-none"/>
    </w:rPr>
  </w:style>
  <w:style w:type="character" w:customStyle="1" w:styleId="FootnoteTextChar">
    <w:name w:val="Footnote Text Char"/>
    <w:basedOn w:val="DefaultParagraphFont"/>
    <w:link w:val="FootnoteText"/>
    <w:uiPriority w:val="99"/>
    <w:rsid w:val="000843D1"/>
    <w:rPr>
      <w:rFonts w:ascii="Times New Roman" w:eastAsia="Calibri" w:hAnsi="Times New Roman" w:cs="Times New Roman"/>
      <w:sz w:val="20"/>
      <w:szCs w:val="20"/>
      <w:lang w:eastAsia="x-none"/>
    </w:rPr>
  </w:style>
  <w:style w:type="paragraph" w:styleId="ListParagraph">
    <w:name w:val="List Paragraph"/>
    <w:basedOn w:val="Normal"/>
    <w:uiPriority w:val="34"/>
    <w:qFormat/>
    <w:rsid w:val="00F507CD"/>
    <w:pPr>
      <w:spacing w:after="200" w:line="276" w:lineRule="auto"/>
      <w:ind w:left="720"/>
      <w:contextualSpacing/>
    </w:pPr>
    <w:rPr>
      <w:rFonts w:ascii="Calibri" w:eastAsia="Calibri" w:hAnsi="Calibri" w:cs="Times New Roman"/>
      <w:sz w:val="22"/>
      <w:szCs w:val="22"/>
    </w:rPr>
  </w:style>
  <w:style w:type="character" w:customStyle="1" w:styleId="apple-converted-space">
    <w:name w:val="apple-converted-space"/>
    <w:rsid w:val="002611A8"/>
  </w:style>
  <w:style w:type="character" w:customStyle="1" w:styleId="s6b621b36">
    <w:name w:val="s6b621b36"/>
    <w:basedOn w:val="DefaultParagraphFont"/>
    <w:rsid w:val="002611A8"/>
  </w:style>
  <w:style w:type="character" w:styleId="CommentReference">
    <w:name w:val="annotation reference"/>
    <w:basedOn w:val="DefaultParagraphFont"/>
    <w:uiPriority w:val="99"/>
    <w:semiHidden/>
    <w:unhideWhenUsed/>
    <w:rsid w:val="002611A8"/>
    <w:rPr>
      <w:sz w:val="16"/>
      <w:szCs w:val="16"/>
    </w:rPr>
  </w:style>
  <w:style w:type="paragraph" w:styleId="BalloonText">
    <w:name w:val="Balloon Text"/>
    <w:basedOn w:val="Normal"/>
    <w:link w:val="BalloonTextChar"/>
    <w:uiPriority w:val="99"/>
    <w:semiHidden/>
    <w:unhideWhenUsed/>
    <w:rsid w:val="00F431BF"/>
    <w:rPr>
      <w:rFonts w:ascii="Tahoma" w:hAnsi="Tahoma" w:cs="Tahoma"/>
      <w:sz w:val="16"/>
      <w:szCs w:val="16"/>
    </w:rPr>
  </w:style>
  <w:style w:type="character" w:customStyle="1" w:styleId="BalloonTextChar">
    <w:name w:val="Balloon Text Char"/>
    <w:basedOn w:val="DefaultParagraphFont"/>
    <w:link w:val="BalloonText"/>
    <w:uiPriority w:val="99"/>
    <w:semiHidden/>
    <w:rsid w:val="00F431BF"/>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81645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C2843-B783-4C7C-91D0-1F9FA971E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1805</Words>
  <Characters>10291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Visoko sudsko i tuzilacko vijece BiH</Company>
  <LinksUpToDate>false</LinksUpToDate>
  <CharactersWithSpaces>12072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MacBook</dc:creator>
  <cp:lastModifiedBy>Aldijana Sabanovic</cp:lastModifiedBy>
  <cp:revision>2</cp:revision>
  <cp:lastPrinted>2016-12-07T07:50:00Z</cp:lastPrinted>
  <dcterms:created xsi:type="dcterms:W3CDTF">2017-07-11T13:13:00Z</dcterms:created>
  <dcterms:modified xsi:type="dcterms:W3CDTF">2017-07-11T13:13:00Z</dcterms:modified>
</cp:coreProperties>
</file>